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Override PartName="/word/media/rId9.jpg" ContentType="image/jpeg"/>
  <Override PartName="/word/media/rId18.jpg" ContentType="image/jpeg"/>
  <Override PartName="/word/media/rId23.jpg" ContentType="image/jpeg"/>
  <Override PartName="/word/media/rId100.png" ContentType="image/png"/>
  <Override PartName="/word/media/rId104.png" ContentType="image/png"/>
  <Override PartName="/word/media/rId87.svg" ContentType="image/svg+xml"/>
  <Override PartName="/word/media/rId113.png" ContentType="image/png"/>
  <Override PartName="/word/media/rId125.png" ContentType="image/png"/>
  <Override PartName="/word/media/rId131.png" ContentType="image/png"/>
  <Override PartName="/word/media/rId52.png" ContentType="image/png"/>
  <Override PartName="/word/media/rId95.png" ContentType="image/png"/>
  <Override PartName="/word/media/rId82.png" ContentType="image/png"/>
  <Override PartName="/word/media/rId29.png" ContentType="image/png"/>
  <Override PartName="/word/media/rId60.png" ContentType="image/png"/>
  <Override PartName="/word/media/rId6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Estimating Incidence Rates from Cross-Sectional Serosurveys</w:t>
      </w:r>
    </w:p>
    <w:p>
      <w:pPr>
        <w:pStyle w:val="Author"/>
      </w:pPr>
      <w:r>
        <w:t xml:space="preserve">UC Davis Seroepidemiology Research Group (UCD-SERG)</w:t>
      </w:r>
    </w:p>
    <w:p>
      <w:pPr>
        <w:pStyle w:val="Date"/>
      </w:pPr>
      <w:r>
        <w:t xml:space="preserve">2026-08-07</w:t>
      </w:r>
    </w:p>
    <w:bookmarkStart w:id="28" w:name="infectious-disease-epidemiology"/>
    <w:p>
      <w:pPr>
        <w:pStyle w:val="Heading1"/>
      </w:pPr>
      <w:r>
        <w:t xml:space="preserve">1. Infectious disease epidemiology</w:t>
      </w:r>
    </w:p>
    <w:bookmarkStart w:id="17" w:name="salmonella-enterica-typhoid-fever"/>
    <w:p>
      <w:pPr>
        <w:pStyle w:val="Heading2"/>
      </w:pPr>
      <w:r>
        <w:t xml:space="preserve">1.1</w:t>
      </w:r>
      <w:r>
        <w:t xml:space="preserve"> </w:t>
      </w:r>
      <w:r>
        <w:rPr>
          <w:i/>
          <w:iCs/>
        </w:rPr>
        <w:t xml:space="preserve">Salmonella</w:t>
      </w:r>
      <w:r>
        <w:t xml:space="preserve"> </w:t>
      </w:r>
      <w:r>
        <w:t xml:space="preserve">enterica (</w:t>
      </w:r>
      <w:r>
        <w:t xml:space="preserve">“typhoid fever”</w:t>
      </w:r>
      <w:r>
        <w:t xml:space="preserve">)</w:t>
      </w:r>
    </w:p>
    <w:p>
      <w:pPr>
        <w:pStyle w:val="Compact"/>
        <w:numPr>
          <w:ilvl w:val="0"/>
          <w:numId w:val="1001"/>
        </w:numPr>
      </w:pPr>
      <w:r>
        <w:t xml:space="preserve">~21.7 million symptomatic cases/year</w:t>
      </w:r>
    </w:p>
    <w:p>
      <w:pPr>
        <w:pStyle w:val="Compact"/>
        <w:numPr>
          <w:ilvl w:val="0"/>
          <w:numId w:val="1001"/>
        </w:numPr>
      </w:pPr>
      <w:r>
        <w:t xml:space="preserve">~217,000 deaths/year (~1% case fatality with treatment; up to 20% untreated)</w:t>
      </w:r>
    </w:p>
    <w:p>
      <w:pPr>
        <w:pStyle w:val="Compact"/>
        <w:numPr>
          <w:ilvl w:val="0"/>
          <w:numId w:val="1001"/>
        </w:numPr>
      </w:pPr>
      <w:r>
        <w:t xml:space="preserve">Highest burden: ages 5–19</w:t>
      </w:r>
    </w:p>
    <w:p>
      <w:pPr>
        <w:pStyle w:val="Compact"/>
        <w:numPr>
          <w:ilvl w:val="0"/>
          <w:numId w:val="1001"/>
        </w:numPr>
      </w:pPr>
      <w:r>
        <w:rPr>
          <w:b/>
          <w:bCs/>
        </w:rPr>
        <w:t xml:space="preserve">Symptoms:</w:t>
      </w:r>
      <w:r>
        <w:t xml:space="preserve"> </w:t>
      </w:r>
      <w:r>
        <w:t xml:space="preserve">sustained high fever, severe headache, abdominal pain, malaise; rose-spot rash (~30% of patients); constipation (early) or diarrhea (later)</w:t>
      </w:r>
    </w:p>
    <w:p>
      <w:pPr>
        <w:pStyle w:val="CaptionedFigure"/>
      </w:pPr>
      <w:r>
        <w:drawing>
          <wp:inline>
            <wp:extent cx="5334000" cy="2955036"/>
            <wp:effectExtent b="0" l="0" r="0" t="0"/>
            <wp:docPr descr="Salmonella Typhi, flagellar stain. Photo: CDC/PHIL (public domain; PHIL ID 2115)." title="" id="10" name="Picture"/>
            <a:graphic>
              <a:graphicData uri="http://schemas.openxmlformats.org/drawingml/2006/picture">
                <pic:pic>
                  <pic:nvPicPr>
                    <pic:cNvPr descr="../man/figures/SalmonellaTyphiFlagellarStain.jpg" id="11" name="Picture"/>
                    <pic:cNvPicPr>
                      <a:picLocks noChangeArrowheads="1" noChangeAspect="1"/>
                    </pic:cNvPicPr>
                  </pic:nvPicPr>
                  <pic:blipFill>
                    <a:blip r:embed="rId9"/>
                    <a:stretch>
                      <a:fillRect/>
                    </a:stretch>
                  </pic:blipFill>
                  <pic:spPr bwMode="auto">
                    <a:xfrm>
                      <a:off x="0" y="0"/>
                      <a:ext cx="5334000" cy="2955036"/>
                    </a:xfrm>
                    <a:prstGeom prst="rect">
                      <a:avLst/>
                    </a:prstGeom>
                    <a:noFill/>
                    <a:ln w="9525">
                      <a:noFill/>
                      <a:headEnd/>
                      <a:tailEnd/>
                    </a:ln>
                  </pic:spPr>
                </pic:pic>
              </a:graphicData>
            </a:graphic>
          </wp:inline>
        </w:drawing>
      </w:r>
    </w:p>
    <w:p>
      <w:pPr>
        <w:pStyle w:val="ImageCaption"/>
      </w:pPr>
      <w:r>
        <w:rPr>
          <w:i/>
          <w:iCs/>
        </w:rPr>
        <w:t xml:space="preserve">Salmonella</w:t>
      </w:r>
      <w:r>
        <w:t xml:space="preserve"> </w:t>
      </w:r>
      <w:r>
        <w:t xml:space="preserve">Typhi, flagellar stain. Photo: CDC/PHIL (public domain; PHIL ID 2115).</w:t>
      </w:r>
    </w:p>
    <w:p>
      <w:pPr>
        <w:pStyle w:val="CaptionedFigure"/>
      </w:pPr>
      <w:r>
        <w:drawing>
          <wp:inline>
            <wp:extent cx="5334000" cy="2468498"/>
            <wp:effectExtent b="0" l="0" r="0" t="0"/>
            <wp:docPr descr="Global distribution of typhoid fever. Source: Wikimedia Commons, CC BY-SA 3.0." title="" id="13" name="Picture"/>
            <a:graphic>
              <a:graphicData uri="http://schemas.openxmlformats.org/drawingml/2006/picture">
                <pic:pic>
                  <pic:nvPicPr>
                    <pic:cNvPr descr="../man/figures/Fievre_typhoide.png" id="14" name="Picture"/>
                    <pic:cNvPicPr>
                      <a:picLocks noChangeArrowheads="1" noChangeAspect="1"/>
                    </pic:cNvPicPr>
                  </pic:nvPicPr>
                  <pic:blipFill>
                    <a:blip r:embed="rId12"/>
                    <a:stretch>
                      <a:fillRect/>
                    </a:stretch>
                  </pic:blipFill>
                  <pic:spPr bwMode="auto">
                    <a:xfrm>
                      <a:off x="0" y="0"/>
                      <a:ext cx="5334000" cy="2468498"/>
                    </a:xfrm>
                    <a:prstGeom prst="rect">
                      <a:avLst/>
                    </a:prstGeom>
                    <a:noFill/>
                    <a:ln w="9525">
                      <a:noFill/>
                      <a:headEnd/>
                      <a:tailEnd/>
                    </a:ln>
                  </pic:spPr>
                </pic:pic>
              </a:graphicData>
            </a:graphic>
          </wp:inline>
        </w:drawing>
      </w:r>
    </w:p>
    <w:p>
      <w:pPr>
        <w:pStyle w:val="ImageCaption"/>
      </w:pPr>
      <w:r>
        <w:t xml:space="preserve">Global distribution of typhoid fever. Source:</w:t>
      </w:r>
      <w:r>
        <w:t xml:space="preserve"> </w:t>
      </w:r>
      <w:hyperlink r:id="rId15">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17"/>
    <w:bookmarkStart w:id="22" w:name="shigella-dysentery"/>
    <w:p>
      <w:pPr>
        <w:pStyle w:val="Heading2"/>
      </w:pPr>
      <w:r>
        <w:t xml:space="preserve">1.2</w:t>
      </w:r>
      <w:r>
        <w:t xml:space="preserve"> </w:t>
      </w:r>
      <w:r>
        <w:rPr>
          <w:i/>
          <w:iCs/>
        </w:rPr>
        <w:t xml:space="preserve">Shigella</w:t>
      </w:r>
      <w:r>
        <w:t xml:space="preserve"> </w:t>
      </w:r>
      <w:r>
        <w:t xml:space="preserve">(</w:t>
      </w:r>
      <w:r>
        <w:t xml:space="preserve">“dysentery”</w:t>
      </w:r>
      <w:r>
        <w:t xml:space="preserve">)</w:t>
      </w:r>
    </w:p>
    <w:p>
      <w:pPr>
        <w:pStyle w:val="Compact"/>
        <w:numPr>
          <w:ilvl w:val="0"/>
          <w:numId w:val="1002"/>
        </w:numPr>
      </w:pPr>
      <w:r>
        <w:t xml:space="preserve">~100 million infections annually</w:t>
      </w:r>
    </w:p>
    <w:p>
      <w:pPr>
        <w:pStyle w:val="Compact"/>
        <w:numPr>
          <w:ilvl w:val="0"/>
          <w:numId w:val="1002"/>
        </w:numPr>
      </w:pPr>
      <w:r>
        <w:t xml:space="preserve">~100,000 deaths annually (~1% case fatality; higher in malnourished children)</w:t>
      </w:r>
    </w:p>
    <w:p>
      <w:pPr>
        <w:pStyle w:val="Compact"/>
        <w:numPr>
          <w:ilvl w:val="0"/>
          <w:numId w:val="1002"/>
        </w:numPr>
      </w:pPr>
      <w:r>
        <w:t xml:space="preserve">Most cases and deaths: children under 5 in low- and middle-income countries (LMICs)</w:t>
      </w:r>
    </w:p>
    <w:p>
      <w:pPr>
        <w:pStyle w:val="Compact"/>
        <w:numPr>
          <w:ilvl w:val="0"/>
          <w:numId w:val="1002"/>
        </w:numPr>
      </w:pPr>
      <w:r>
        <w:rPr>
          <w:b/>
          <w:bCs/>
        </w:rPr>
        <w:t xml:space="preserve">Symptoms:</w:t>
      </w:r>
      <w:r>
        <w:t xml:space="preserve"> </w:t>
      </w:r>
      <w:r>
        <w:t xml:space="preserve">bloody diarrhea (dysentery), abdominal cramps, fever, tenesmus (painful urge to defecate)</w:t>
      </w:r>
    </w:p>
    <w:p>
      <w:pPr>
        <w:pStyle w:val="CaptionedFigure"/>
      </w:pPr>
      <w:r>
        <w:drawing>
          <wp:inline>
            <wp:extent cx="5334000" cy="3482340"/>
            <wp:effectExtent b="0" l="0" r="0" t="0"/>
            <wp:docPr descr="Shigella in a stool sample. Photo: CDC/PHIL (public domain), via Wikimedia Commons." title="" id="19" name="Picture"/>
            <a:graphic>
              <a:graphicData uri="http://schemas.openxmlformats.org/drawingml/2006/picture">
                <pic:pic>
                  <pic:nvPicPr>
                    <pic:cNvPr descr="../man/figures/Shigella_stool.jpg" id="20" name="Picture"/>
                    <pic:cNvPicPr>
                      <a:picLocks noChangeArrowheads="1" noChangeAspect="1"/>
                    </pic:cNvPicPr>
                  </pic:nvPicPr>
                  <pic:blipFill>
                    <a:blip r:embed="rId18"/>
                    <a:stretch>
                      <a:fillRect/>
                    </a:stretch>
                  </pic:blipFill>
                  <pic:spPr bwMode="auto">
                    <a:xfrm>
                      <a:off x="0" y="0"/>
                      <a:ext cx="5334000" cy="3482340"/>
                    </a:xfrm>
                    <a:prstGeom prst="rect">
                      <a:avLst/>
                    </a:prstGeom>
                    <a:noFill/>
                    <a:ln w="9525">
                      <a:noFill/>
                      <a:headEnd/>
                      <a:tailEnd/>
                    </a:ln>
                  </pic:spPr>
                </pic:pic>
              </a:graphicData>
            </a:graphic>
          </wp:inline>
        </w:drawing>
      </w:r>
    </w:p>
    <w:p>
      <w:pPr>
        <w:pStyle w:val="ImageCaption"/>
      </w:pPr>
      <w:r>
        <w:rPr>
          <w:i/>
          <w:iCs/>
        </w:rPr>
        <w:t xml:space="preserve">Shigella</w:t>
      </w:r>
      <w:r>
        <w:t xml:space="preserve"> </w:t>
      </w:r>
      <w:r>
        <w:t xml:space="preserve">in a stool sample. Photo: CDC/PHIL (public domain), via</w:t>
      </w:r>
      <w:r>
        <w:t xml:space="preserve"> </w:t>
      </w:r>
      <w:hyperlink r:id="rId21">
        <w:r>
          <w:rPr>
            <w:rStyle w:val="Hyperlink"/>
          </w:rPr>
          <w:t xml:space="preserve">Wikimedia Commons</w:t>
        </w:r>
      </w:hyperlink>
      <w:r>
        <w:t xml:space="preserve">.</w:t>
      </w:r>
    </w:p>
    <w:bookmarkEnd w:id="22"/>
    <w:bookmarkStart w:id="27" w:name="orientia-tsutsugamushi-scrub-typhus"/>
    <w:p>
      <w:pPr>
        <w:pStyle w:val="Heading2"/>
      </w:pPr>
      <w:r>
        <w:t xml:space="preserve">1.3</w:t>
      </w:r>
      <w:r>
        <w:t xml:space="preserve"> </w:t>
      </w:r>
      <w:r>
        <w:rPr>
          <w:i/>
          <w:iCs/>
        </w:rPr>
        <w:t xml:space="preserve">Orientia tsutsugamushi</w:t>
      </w:r>
      <w:r>
        <w:t xml:space="preserve"> </w:t>
      </w:r>
      <w:r>
        <w:t xml:space="preserve">(</w:t>
      </w:r>
      <w:r>
        <w:t xml:space="preserve">“scrub typhus”</w:t>
      </w:r>
      <w:r>
        <w:t xml:space="preserve">)</w:t>
      </w:r>
    </w:p>
    <w:p>
      <w:pPr>
        <w:pStyle w:val="Compact"/>
        <w:numPr>
          <w:ilvl w:val="0"/>
          <w:numId w:val="1003"/>
        </w:numPr>
      </w:pPr>
      <w:r>
        <w:t xml:space="preserve">~1,000,000 infections/year</w:t>
      </w:r>
    </w:p>
    <w:p>
      <w:pPr>
        <w:pStyle w:val="Compact"/>
        <w:numPr>
          <w:ilvl w:val="0"/>
          <w:numId w:val="1003"/>
        </w:numPr>
      </w:pPr>
      <w:r>
        <w:t xml:space="preserve">~10,000 deaths/year (~1% case fatality with treatment; up to 30% untreated)</w:t>
      </w:r>
    </w:p>
    <w:p>
      <w:pPr>
        <w:pStyle w:val="Compact"/>
        <w:numPr>
          <w:ilvl w:val="0"/>
          <w:numId w:val="1003"/>
        </w:numPr>
      </w:pPr>
      <w:r>
        <w:rPr>
          <w:b/>
          <w:bCs/>
        </w:rPr>
        <w:t xml:space="preserve">Symptoms:</w:t>
      </w:r>
      <w:r>
        <w:t xml:space="preserve"> </w:t>
      </w:r>
      <w:r>
        <w:t xml:space="preserve">high fever, severe headache, myalgia; eschar (pathognomonic black scab at mite-bite site); macular rash; cough; gastrointestinal symptoms; hemorrhage in severe cases</w:t>
      </w:r>
    </w:p>
    <w:p>
      <w:pPr>
        <w:pStyle w:val="CaptionedFigure"/>
      </w:pPr>
      <w:r>
        <w:drawing>
          <wp:inline>
            <wp:extent cx="3810000" cy="2540000"/>
            <wp:effectExtent b="0" l="0" r="0" t="0"/>
            <wp:docPr descr="Trombicula mite larva with stylostome. Photo: Alan R Walker / Wikimedia Commons, CC BY-SA 3.0." title="" id="24" name="Picture"/>
            <a:graphic>
              <a:graphicData uri="http://schemas.openxmlformats.org/drawingml/2006/picture">
                <pic:pic>
                  <pic:nvPicPr>
                    <pic:cNvPr descr="../man/figures/Trombicula-larva-stylostome.jpg" id="25" name="Picture"/>
                    <pic:cNvPicPr>
                      <a:picLocks noChangeArrowheads="1" noChangeAspect="1"/>
                    </pic:cNvPicPr>
                  </pic:nvPicPr>
                  <pic:blipFill>
                    <a:blip r:embed="rId23"/>
                    <a:stretch>
                      <a:fillRect/>
                    </a:stretch>
                  </pic:blipFill>
                  <pic:spPr bwMode="auto">
                    <a:xfrm>
                      <a:off x="0" y="0"/>
                      <a:ext cx="3810000" cy="2540000"/>
                    </a:xfrm>
                    <a:prstGeom prst="rect">
                      <a:avLst/>
                    </a:prstGeom>
                    <a:noFill/>
                    <a:ln w="9525">
                      <a:noFill/>
                      <a:headEnd/>
                      <a:tailEnd/>
                    </a:ln>
                  </pic:spPr>
                </pic:pic>
              </a:graphicData>
            </a:graphic>
          </wp:inline>
        </w:drawing>
      </w:r>
    </w:p>
    <w:p>
      <w:pPr>
        <w:pStyle w:val="ImageCaption"/>
      </w:pPr>
      <w:r>
        <w:rPr>
          <w:i/>
          <w:iCs/>
        </w:rPr>
        <w:t xml:space="preserve">Trombicula</w:t>
      </w:r>
      <w:r>
        <w:t xml:space="preserve"> </w:t>
      </w:r>
      <w:r>
        <w:t xml:space="preserve">mite larva with stylostome. Photo: Alan R Walker /</w:t>
      </w:r>
      <w:r>
        <w:t xml:space="preserve"> </w:t>
      </w:r>
      <w:hyperlink r:id="rId26">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27"/>
    <w:bookmarkEnd w:id="28"/>
    <w:bookmarkStart w:id="40" w:name="why-estimate-incidence-from-serosurveys"/>
    <w:p>
      <w:pPr>
        <w:pStyle w:val="Heading1"/>
      </w:pPr>
      <w:r>
        <w:t xml:space="preserve">2. Why estimate incidence from serosurveys?</w:t>
      </w:r>
    </w:p>
    <w:bookmarkStart w:id="32" w:name="the-burden-data-gap"/>
    <w:p>
      <w:pPr>
        <w:pStyle w:val="Heading2"/>
      </w:pPr>
      <w:r>
        <w:t xml:space="preserve">2.1 The burden-data gap</w:t>
      </w:r>
    </w:p>
    <w:p>
      <w:pPr>
        <w:numPr>
          <w:ilvl w:val="0"/>
          <w:numId w:val="1004"/>
        </w:numPr>
      </w:pPr>
      <w:r>
        <w:t xml:space="preserve">Typhoid conjugate vaccines (TCVs) are</w:t>
      </w:r>
      <w:r>
        <w:t xml:space="preserve"> </w:t>
      </w:r>
      <w:r>
        <w:rPr>
          <w:b/>
          <w:bCs/>
        </w:rPr>
        <w:t xml:space="preserve">80-90% effective</w:t>
      </w:r>
      <w:r>
        <w:t xml:space="preserve"> </w:t>
      </w:r>
      <w:r>
        <w:t xml:space="preserve">and</w:t>
      </w:r>
      <w:r>
        <w:t xml:space="preserve"> </w:t>
      </w:r>
      <w:r>
        <w:t xml:space="preserve">WHO-recommended since 2018, but</w:t>
      </w:r>
      <w:r>
        <w:t xml:space="preserve"> </w:t>
      </w:r>
      <w:r>
        <w:rPr>
          <w:b/>
          <w:bCs/>
        </w:rPr>
        <w:t xml:space="preserve">few countries</w:t>
      </w:r>
      <w:r>
        <w:t xml:space="preserve"> </w:t>
      </w:r>
      <w:r>
        <w:t xml:space="preserve">have adopted them into</w:t>
      </w:r>
      <w:r>
        <w:t xml:space="preserve"> </w:t>
      </w:r>
      <w:r>
        <w:t xml:space="preserve">routine immunization.</w:t>
      </w:r>
    </w:p>
    <w:p>
      <w:pPr>
        <w:numPr>
          <w:ilvl w:val="0"/>
          <w:numId w:val="1004"/>
        </w:numPr>
      </w:pPr>
      <w:r>
        <w:t xml:space="preserve">A major barrier is the</w:t>
      </w:r>
      <w:r>
        <w:t xml:space="preserve"> </w:t>
      </w:r>
      <w:r>
        <w:rPr>
          <w:b/>
          <w:bCs/>
        </w:rPr>
        <w:t xml:space="preserve">lack of burden data</w:t>
      </w:r>
      <w:r>
        <w:t xml:space="preserve">: most low- and</w:t>
      </w:r>
      <w:r>
        <w:t xml:space="preserve"> </w:t>
      </w:r>
      <w:r>
        <w:t xml:space="preserve">middle-income countries lack robust typhoid surveillance and have little</w:t>
      </w:r>
      <w:r>
        <w:t xml:space="preserve"> </w:t>
      </w:r>
      <w:r>
        <w:t xml:space="preserve">or no incidence data.</w:t>
      </w:r>
    </w:p>
    <w:p>
      <w:pPr>
        <w:numPr>
          <w:ilvl w:val="0"/>
          <w:numId w:val="1004"/>
        </w:numPr>
      </w:pPr>
      <w:r>
        <w:t xml:space="preserve">These gaps block applications for vaccine funding,</w:t>
      </w:r>
      <w:r>
        <w:t xml:space="preserve"> </w:t>
      </w:r>
      <w:r>
        <w:t xml:space="preserve">widening</w:t>
      </w:r>
      <w:r>
        <w:t xml:space="preserve"> </w:t>
      </w:r>
      <w:r>
        <w:rPr>
          <w:b/>
          <w:bCs/>
        </w:rPr>
        <w:t xml:space="preserve">equity gaps</w:t>
      </w:r>
      <w:r>
        <w:t xml:space="preserve"> </w:t>
      </w:r>
      <w:r>
        <w:t xml:space="preserve">in access to effective vaccines.</w:t>
      </w:r>
    </w:p>
    <w:p>
      <w:pPr>
        <w:pStyle w:val="CaptionedFigure"/>
      </w:pPr>
      <w:r>
        <w:drawing>
          <wp:inline>
            <wp:extent cx="4620126" cy="3696101"/>
            <wp:effectExtent b="0" l="0" r="0" t="0"/>
            <wp:docPr descr="Countries with routine TCV introduction as of 2023. Source: CDC MMWR 72(7):182–188 (public domain)." title="" id="30" name="Picture"/>
            <a:graphic>
              <a:graphicData uri="http://schemas.openxmlformats.org/drawingml/2006/picture">
                <pic:pic>
                  <pic:nvPicPr>
                    <pic:cNvPr descr="methodology_files/figure-docx/unnamed-chunk-2-1.png" id="31" name="Picture"/>
                    <pic:cNvPicPr>
                      <a:picLocks noChangeArrowheads="1" noChangeAspect="1"/>
                    </pic:cNvPicPr>
                  </pic:nvPicPr>
                  <pic:blipFill>
                    <a:blip r:embed="rId29"/>
                    <a:stretch>
                      <a:fillRect/>
                    </a:stretch>
                  </pic:blipFill>
                  <pic:spPr bwMode="auto">
                    <a:xfrm>
                      <a:off x="0" y="0"/>
                      <a:ext cx="4620126" cy="3696101"/>
                    </a:xfrm>
                    <a:prstGeom prst="rect">
                      <a:avLst/>
                    </a:prstGeom>
                    <a:noFill/>
                    <a:ln w="9525">
                      <a:noFill/>
                      <a:headEnd/>
                      <a:tailEnd/>
                    </a:ln>
                  </pic:spPr>
                </pic:pic>
              </a:graphicData>
            </a:graphic>
          </wp:inline>
        </w:drawing>
      </w:r>
    </w:p>
    <w:p>
      <w:pPr>
        <w:pStyle w:val="ImageCaption"/>
      </w:pPr>
      <w:r>
        <w:t xml:space="preserve">Countries with routine TCV introduction as of 2023. Source: CDC MMWR 72(7):182–188 (public domain).</w:t>
      </w:r>
    </w:p>
    <w:p>
      <w:pPr>
        <w:pStyle w:val="BodyText"/>
      </w:pPr>
      <w:r>
        <w:t xml:space="preserve">Three large randomized trials showed that a Vi tetanus-toxoid typhoid</w:t>
      </w:r>
      <w:r>
        <w:t xml:space="preserve"> </w:t>
      </w:r>
      <w:r>
        <w:t xml:space="preserve">conjugate vaccine is 80-90% effective at preventing symptomatic typhoid,</w:t>
      </w:r>
      <w:r>
        <w:t xml:space="preserve"> </w:t>
      </w:r>
      <w:r>
        <w:t xml:space="preserve">and the WHO has recommended these vaccines since 2018. Yet as of 2023 only</w:t>
      </w:r>
      <w:r>
        <w:t xml:space="preserve"> </w:t>
      </w:r>
      <w:r>
        <w:t xml:space="preserve">a handful of countries had introduced them into routine immunization. The</w:t>
      </w:r>
      <w:r>
        <w:t xml:space="preserve"> </w:t>
      </w:r>
      <w:r>
        <w:t xml:space="preserve">binding constraint is data: without incidence estimates, countries cannot</w:t>
      </w:r>
      <w:r>
        <w:t xml:space="preserve"> </w:t>
      </w:r>
      <w:r>
        <w:t xml:space="preserve">make the case for vaccine funding.</w:t>
      </w:r>
    </w:p>
    <w:p>
      <w:pPr>
        <w:pStyle w:val="BodyText"/>
      </w:pPr>
      <w:r>
        <w:t xml:space="preserve">“Data inequality is our biggest challenge moving forward”</w:t>
      </w:r>
      <w:r>
        <w:t xml:space="preserve"> </w:t>
      </w:r>
      <w:r>
        <w:t xml:space="preserve">— Kathy Neuzil, 2023</w:t>
      </w:r>
    </w:p>
    <w:bookmarkEnd w:id="32"/>
    <w:bookmarkStart w:id="33" w:name="seroepidemiology-can-fill-the-gap"/>
    <w:p>
      <w:pPr>
        <w:pStyle w:val="Heading2"/>
      </w:pPr>
      <w:r>
        <w:t xml:space="preserve">2.2 Seroepidemiology can fill the gap</w:t>
      </w:r>
    </w:p>
    <w:p>
      <w:pPr>
        <w:pStyle w:val="FirstParagraph"/>
      </w:pPr>
      <w:r>
        <w:t xml:space="preserve">The Seroepidemiology and Environmental Surveillance for Enteric Fever</w:t>
      </w:r>
      <w:r>
        <w:t xml:space="preserve"> </w:t>
      </w:r>
      <w:r>
        <w:t xml:space="preserve">(SEES) study collected cross-sectional serosurveys across multiple</w:t>
      </w:r>
      <w:r>
        <w:t xml:space="preserve"> </w:t>
      </w:r>
      <w:r>
        <w:t xml:space="preserve">countries to estimate typhoid incidence from antibody data</w:t>
      </w:r>
      <w:r>
        <w:t xml:space="preserve"> </w:t>
      </w:r>
      <w:r>
        <w:t xml:space="preserve">(Aiemjoy et al. 2022)</w:t>
      </w:r>
      <w:r>
        <w:t xml:space="preserve">.</w:t>
      </w:r>
    </w:p>
    <w:p>
      <w:pPr>
        <w:pStyle w:val="BodyText"/>
      </w:pPr>
      <w:r>
        <w:t xml:space="preserve">This lecture describes the methodology behind that kind of estimate: how a</w:t>
      </w:r>
      <w:r>
        <w:t xml:space="preserve"> </w:t>
      </w:r>
      <w:r>
        <w:t xml:space="preserve">single cross-sectional serosurvey, combined with a model of antibody</w:t>
      </w:r>
      <w:r>
        <w:t xml:space="preserve"> </w:t>
      </w:r>
      <w:r>
        <w:t xml:space="preserve">dynamics, can recover an incidence rate.</w:t>
      </w:r>
    </w:p>
    <w:bookmarkEnd w:id="33"/>
    <w:bookmarkStart w:id="36" w:name="defining-incidence"/>
    <w:p>
      <w:pPr>
        <w:pStyle w:val="Heading2"/>
      </w:pPr>
      <w:r>
        <w:t xml:space="preserve">2.3 Defining incidence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(Population incidence rate)</w:t>
            </w:r>
          </w:p>
          <w:bookmarkStart w:id="34" w:name="def-incidence"/>
          <w:p>
            <w:pPr>
              <w:pStyle w:val="BodyText"/>
            </w:pPr>
            <w:r>
              <w:rPr>
                <w:b/>
                <w:bCs/>
              </w:rPr>
              <w:t xml:space="preserve">Definition 1 (Population incidence rate)</w:t>
            </w:r>
            <w:r>
              <w:t xml:space="preserve"> </w:t>
            </w:r>
            <w:r>
              <w:t xml:space="preserve">The</w:t>
            </w:r>
            <w:r>
              <w:t xml:space="preserve"> </w:t>
            </w:r>
            <w:r>
              <w:rPr>
                <w:b/>
                <w:bCs/>
              </w:rPr>
              <w:t xml:space="preserve">incidence rate</w:t>
            </w:r>
            <w:r>
              <w:t xml:space="preserve"> </w:t>
            </w:r>
            <w:r>
              <w:t xml:space="preserve">of a disease over a</w:t>
            </w:r>
            <w:r>
              <w:t xml:space="preserve"> </w:t>
            </w:r>
            <w:r>
              <w:rPr>
                <w:b/>
                <w:bCs/>
              </w:rPr>
              <w:t xml:space="preserve">specific time period</w:t>
            </w:r>
            <w:r>
              <w:t xml:space="preserve"> </w:t>
            </w:r>
            <w:r>
              <w:t xml:space="preserve">is</w:t>
            </w:r>
            <w:r>
              <w:t xml:space="preserve"> </w:t>
            </w:r>
            <w:r>
              <w:t xml:space="preserve">the rate at which individuals in a population are</w:t>
            </w:r>
            <w:r>
              <w:t xml:space="preserve"> </w:t>
            </w:r>
            <w:r>
              <w:rPr>
                <w:i/>
                <w:iCs/>
              </w:rPr>
              <w:t xml:space="preserve">acquiring</w:t>
            </w:r>
            <w:r>
              <w:t xml:space="preserve"> </w:t>
            </w:r>
            <w:r>
              <w:t xml:space="preserve">the disease</w:t>
            </w:r>
            <w:r>
              <w:t xml:space="preserve"> </w:t>
            </w:r>
            <w:r>
              <w:t xml:space="preserve">during that time period</w:t>
            </w:r>
            <w:r>
              <w:t xml:space="preserve"> </w:t>
            </w:r>
            <w:r>
              <w:t xml:space="preserve">(Noordzij et al. 2010)</w:t>
            </w:r>
            <w:r>
              <w:t xml:space="preserve">.</w:t>
            </w:r>
          </w:p>
          <w:bookmarkEnd w:id="34"/>
        </w:tc>
      </w:tr>
    </w:tbl>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BodyText"/>
            </w:pPr>
            <w:pPr>
              <w:spacing w:before="16" w:after="16"/>
            </w:pPr>
            <w:r>
              <w:t xml:space="preserve">Example (Population incidence rate)</w:t>
            </w:r>
          </w:p>
        </w:tc>
      </w:tr>
      <w:tr>
        <w:trPr>
          <w:cantSplit/>
        </w:trPr>
        <w:tc>
          <w:tcPr>
            <w:tcMar>
              <w:top w:w="108" w:type="dxa"/>
              <w:bottom w:w="108" w:type="dxa"/>
            </w:tcMar>
          </w:tcPr>
          <w:bookmarkStart w:id="35" w:name="exm-incidence-rate"/>
          <w:p>
            <w:pPr>
              <w:pStyle w:val="BodyText"/>
            </w:pPr>
            <w:r>
              <w:rPr>
                <w:b/>
                <w:bCs/>
              </w:rPr>
              <w:t xml:space="preserve">Example 1 (Population incidence rate)</w:t>
            </w:r>
            <w:r>
              <w:t xml:space="preserve"> </w:t>
            </w:r>
            <w:r>
              <w:t xml:space="preserve">If there are</w:t>
            </w:r>
            <w:r>
              <w:t xml:space="preserve"> </w:t>
            </w:r>
            <w:r>
              <w:rPr>
                <w:b/>
                <w:bCs/>
              </w:rPr>
              <w:t xml:space="preserve">10 new cases</w:t>
            </w:r>
            <w:r>
              <w:t xml:space="preserve"> </w:t>
            </w:r>
            <w:r>
              <w:t xml:space="preserve">of typhoid</w:t>
            </w:r>
            <w:r>
              <w:t xml:space="preserve"> </w:t>
            </w:r>
            <w:r>
              <w:t xml:space="preserve">in a population of</w:t>
            </w:r>
            <w:r>
              <w:t xml:space="preserve"> </w:t>
            </w:r>
            <w:r>
              <w:rPr>
                <w:b/>
                <w:bCs/>
              </w:rPr>
              <w:t xml:space="preserve">1000 persons</w:t>
            </w:r>
            <w:r>
              <w:t xml:space="preserve"> </w:t>
            </w:r>
            <w:r>
              <w:t xml:space="preserve">during a</w:t>
            </w:r>
            <w:r>
              <w:t xml:space="preserve"> </w:t>
            </w:r>
            <w:r>
              <w:rPr>
                <w:b/>
                <w:bCs/>
              </w:rPr>
              <w:t xml:space="preserve">one month</w:t>
            </w:r>
            <w:r>
              <w:t xml:space="preserve"> </w:t>
            </w:r>
            <w:r>
              <w:t xml:space="preserve">time period,</w:t>
            </w:r>
            <w:r>
              <w:t xml:space="preserve"> </w:t>
            </w:r>
            <w:r>
              <w:t xml:space="preserve">then the</w:t>
            </w:r>
            <w:r>
              <w:t xml:space="preserve"> </w:t>
            </w:r>
            <w:r>
              <w:rPr>
                <w:b/>
                <w:bCs/>
              </w:rPr>
              <w:t xml:space="preserve">incidence rate</w:t>
            </w:r>
            <w:r>
              <w:t xml:space="preserve"> </w:t>
            </w:r>
            <w:r>
              <w:t xml:space="preserve">for that time period is</w:t>
            </w:r>
            <w:r>
              <w:t xml:space="preserve"> </w:t>
            </w:r>
            <w:r>
              <w:rPr>
                <w:b/>
                <w:bCs/>
              </w:rPr>
              <w:t xml:space="preserve">10 new cases per 1000 persons per month</w:t>
            </w:r>
            <w:r>
              <w:t xml:space="preserve">.</w:t>
            </w:r>
          </w:p>
          <w:bookmarkEnd w:id="35"/>
          <w:p/>
        </w:tc>
      </w:tr>
    </w:tbl>
    <w:bookmarkEnd w:id="36"/>
    <w:bookmarkStart w:id="37" w:name="mathematical-definition-of-incidence"/>
    <w:p>
      <w:pPr>
        <w:pStyle w:val="Heading2"/>
      </w:pPr>
      <w:r>
        <w:t xml:space="preserve">2.4 Mathematical definition of incidence</w:t>
      </w:r>
    </w:p>
    <w:p>
      <w:pPr>
        <w:pStyle w:val="FirstParagraph"/>
      </w:pPr>
      <w:r>
        <w:t xml:space="preserve">More precisely, the incidence rate at time</w:t>
      </w:r>
      <w:r>
        <w:t xml:space="preserve"> </w:t>
      </w:r>
      <m:oMath>
        <m:r>
          <m:t>t</m:t>
        </m:r>
      </m:oMath>
      <w:r>
        <w:t xml:space="preserve"> </w:t>
      </w:r>
      <w:r>
        <w:t xml:space="preserve">is the</w:t>
      </w:r>
      <w:r>
        <w:t xml:space="preserve"> </w:t>
      </w:r>
      <w:r>
        <w:rPr>
          <w:b/>
          <w:bCs/>
        </w:rPr>
        <w:t xml:space="preserve">rate of new</w:t>
      </w:r>
      <w:r>
        <w:rPr>
          <w:b/>
          <w:bCs/>
        </w:rPr>
        <w:t xml:space="preserve"> </w:t>
      </w:r>
      <w:r>
        <w:rPr>
          <w:b/>
          <w:bCs/>
        </w:rPr>
        <w:t xml:space="preserve">infections per person at risk</w:t>
      </w:r>
      <w:r>
        <w:t xml:space="preserve">:</w:t>
      </w:r>
    </w:p>
    <w:p>
      <w:pPr>
        <w:pStyle w:val="BodyText"/>
      </w:pPr>
      <m:oMathPara>
        <m:oMathParaPr>
          <m:jc m:val="center"/>
        </m:oMathParaPr>
        <m:oMath>
          <m:sSub>
            <m:e>
              <m:r>
                <m:t>λ</m:t>
              </m:r>
            </m:e>
            <m:sub>
              <m:r>
                <m:t>t</m:t>
              </m:r>
            </m:sub>
          </m:sSub>
          <m:r>
            <m:rPr>
              <m:sty m:val="p"/>
            </m:rPr>
            <m:t>=</m:t>
          </m:r>
          <m:f>
            <m:fPr>
              <m:type m:val="bar"/>
            </m:fPr>
            <m:num>
              <m:r>
                <m:t>1</m:t>
              </m:r>
            </m:num>
            <m:den>
              <m:r>
                <m:t>N</m:t>
              </m:r>
              <m:r>
                <m:rPr>
                  <m:sty m:val="p"/>
                </m:rPr>
                <m:t>(</m:t>
              </m:r>
              <m:r>
                <m:t>t</m:t>
              </m:r>
              <m:r>
                <m:rPr>
                  <m:sty m:val="p"/>
                </m:rPr>
                <m:t>)</m:t>
              </m:r>
            </m:den>
          </m:f>
          <m:r>
            <m:t> </m:t>
          </m:r>
          <m:f>
            <m:fPr>
              <m:type m:val="bar"/>
            </m:fPr>
            <m:num>
              <m:r>
                <m:t>d</m:t>
              </m:r>
            </m:num>
            <m:den>
              <m:r>
                <m:t>d</m:t>
              </m:r>
              <m:r>
                <m:t>t</m:t>
              </m:r>
            </m:den>
          </m:f>
          <m:r>
            <m:t> </m:t>
          </m:r>
          <m:r>
            <m:rPr>
              <m:scr m:val="double-struck"/>
              <m:sty m:val="p"/>
            </m:rPr>
            <m:t>E</m:t>
          </m:r>
          <m:r>
            <m:rPr>
              <m:sty m:val="p"/>
            </m:rPr>
            <m:t>[</m:t>
          </m:r>
          <m:r>
            <m:t>C</m:t>
          </m:r>
          <m:r>
            <m:rPr>
              <m:sty m:val="p"/>
            </m:rPr>
            <m:t>(</m:t>
          </m:r>
          <m:r>
            <m:t>t</m:t>
          </m:r>
          <m:r>
            <m:rPr>
              <m:sty m:val="p"/>
            </m:rPr>
            <m:t>)</m:t>
          </m:r>
          <m:r>
            <m:rPr>
              <m:sty m:val="p"/>
            </m:rPr>
            <m:t>]</m:t>
          </m:r>
        </m:oMath>
      </m:oMathPara>
    </w:p>
    <w:p>
      <w:pPr>
        <w:pStyle w:val="FirstParagraph"/>
      </w:pPr>
      <w:r>
        <w:t xml:space="preserve">where</w:t>
      </w:r>
      <w:r>
        <w:t xml:space="preserve"> </w:t>
      </w:r>
      <m:oMath>
        <m:r>
          <m:t>C</m:t>
        </m:r>
        <m:r>
          <m:rPr>
            <m:sty m:val="p"/>
          </m:rPr>
          <m:t>(</m:t>
        </m:r>
        <m:r>
          <m:t>t</m:t>
        </m:r>
        <m:r>
          <m:rPr>
            <m:sty m:val="p"/>
          </m:rPr>
          <m:t>)</m:t>
        </m:r>
      </m:oMath>
      <w:r>
        <w:t xml:space="preserve"> </w:t>
      </w:r>
      <w:r>
        <w:t xml:space="preserve">is the cumulative number of infections and</w:t>
      </w:r>
      <w:r>
        <w:t xml:space="preserve"> </w:t>
      </w:r>
      <m:oMath>
        <m:r>
          <m:t>N</m:t>
        </m:r>
        <m:r>
          <m:rPr>
            <m:sty m:val="p"/>
          </m:rPr>
          <m:t>(</m:t>
        </m:r>
        <m:r>
          <m:t>t</m:t>
        </m:r>
        <m:r>
          <m:rPr>
            <m:sty m:val="p"/>
          </m:rPr>
          <m:t>)</m:t>
        </m:r>
      </m:oMath>
      <w:r>
        <w:t xml:space="preserve"> </w:t>
      </w:r>
      <w:r>
        <w:t xml:space="preserve">the number of</w:t>
      </w:r>
      <w:r>
        <w:t xml:space="preserve"> </w:t>
      </w:r>
      <w:r>
        <w:t xml:space="preserve">individuals at risk at time</w:t>
      </w:r>
      <w:r>
        <w:t xml:space="preserve"> </w:t>
      </w:r>
      <m:oMath>
        <m:r>
          <m:t>t</m:t>
        </m:r>
      </m:oMath>
      <w:r>
        <w:t xml:space="preserve">.</w:t>
      </w:r>
    </w:p>
    <w:bookmarkEnd w:id="37"/>
    <w:bookmarkStart w:id="38" w:name="scale-of-incidence-rates"/>
    <w:p>
      <w:pPr>
        <w:pStyle w:val="Heading2"/>
      </w:pPr>
      <w:r>
        <w:t xml:space="preserve">2.5 Scale of incidence rates</w:t>
      </w:r>
    </w:p>
    <w:p>
      <w:pPr>
        <w:pStyle w:val="FirstParagraph"/>
      </w:pPr>
      <w:r>
        <w:t xml:space="preserve">In both definitions,</w:t>
      </w:r>
      <w:r>
        <w:t xml:space="preserve"> </w:t>
      </w:r>
      <w:r>
        <w:t xml:space="preserve">the units for an incidence rate are</w:t>
      </w:r>
      <w:r>
        <w:t xml:space="preserve"> </w:t>
      </w:r>
      <w:r>
        <w:t xml:space="preserve">“# new infections per # persons at risk per time duration”</w:t>
      </w:r>
      <w:r>
        <w:t xml:space="preserve">;</w:t>
      </w:r>
      <w:r>
        <w:t xml:space="preserve"> </w:t>
      </w:r>
      <w:r>
        <w:t xml:space="preserve">for example,</w:t>
      </w:r>
      <w:r>
        <w:t xml:space="preserve"> </w:t>
      </w:r>
      <w:r>
        <w:t xml:space="preserve">“new infections per 1000 persons per year”</w:t>
      </w:r>
      <w:r>
        <w:t xml:space="preserve">.</w:t>
      </w:r>
    </w:p>
    <w:p>
      <w:pPr>
        <w:pStyle w:val="BodyText"/>
      </w:pPr>
      <w:r>
        <w:t xml:space="preserve">For convenience,</w:t>
      </w:r>
      <w:r>
        <w:t xml:space="preserve"> </w:t>
      </w:r>
      <w:r>
        <w:t xml:space="preserve">we can rescale the incidence rate to make it easier to understand;</w:t>
      </w:r>
      <w:r>
        <w:t xml:space="preserve"> </w:t>
      </w:r>
      <w:r>
        <w:t xml:space="preserve">for example, we might express incidence as</w:t>
      </w:r>
      <w:r>
        <w:t xml:space="preserve"> </w:t>
      </w:r>
      <w:r>
        <w:t xml:space="preserve">“# new infections per 1000 persons per year”</w:t>
      </w:r>
      <w:r>
        <w:t xml:space="preserve"> </w:t>
      </w:r>
      <w:r>
        <w:t xml:space="preserve">or</w:t>
      </w:r>
      <w:r>
        <w:t xml:space="preserve"> </w:t>
      </w:r>
      <w:r>
        <w:t xml:space="preserve">“# new infections per 100,000 persons per day”</w:t>
      </w:r>
      <w:r>
        <w:t xml:space="preserve">, etc.</w:t>
      </w:r>
    </w:p>
    <w:bookmarkEnd w:id="38"/>
    <w:bookmarkStart w:id="39" w:name="Xce5e7b14bad86a91043d706abb297ce35a89441"/>
    <w:p>
      <w:pPr>
        <w:pStyle w:val="Heading2"/>
      </w:pPr>
      <w:r>
        <w:t xml:space="preserve">2.6 Incidence from an individual’s perspective</w:t>
      </w:r>
    </w:p>
    <w:p>
      <w:pPr>
        <w:pStyle w:val="FirstParagraph"/>
      </w:pPr>
      <w:r>
        <w:t xml:space="preserve">From the perspective of an individual in the population:</w:t>
      </w:r>
    </w:p>
    <w:p>
      <w:pPr>
        <w:numPr>
          <w:ilvl w:val="0"/>
          <w:numId w:val="1005"/>
        </w:numPr>
      </w:pPr>
      <w:r>
        <w:t xml:space="preserve">the</w:t>
      </w:r>
      <w:r>
        <w:t xml:space="preserve"> </w:t>
      </w:r>
      <w:r>
        <w:rPr>
          <w:b/>
          <w:bCs/>
        </w:rPr>
        <w:t xml:space="preserve">incidence rate</w:t>
      </w:r>
      <w:r>
        <w:t xml:space="preserve"> </w:t>
      </w:r>
      <w:r>
        <w:t xml:space="preserve">(at a given time point</w:t>
      </w:r>
      <w:r>
        <w:t xml:space="preserve"> </w:t>
      </w:r>
      <m:oMath>
        <m:r>
          <m:t>t</m:t>
        </m:r>
      </m:oMath>
      <w:r>
        <w:t xml:space="preserve">)</w:t>
      </w:r>
      <w:r>
        <w:t xml:space="preserve"> </w:t>
      </w:r>
      <w:r>
        <w:t xml:space="preserve">is the instantaneous</w:t>
      </w:r>
      <w:r>
        <w:t xml:space="preserve"> </w:t>
      </w:r>
      <w:r>
        <w:rPr>
          <w:b/>
          <w:bCs/>
        </w:rPr>
        <w:t xml:space="preserve">probability density</w:t>
      </w:r>
      <w:r>
        <w:t xml:space="preserve"> </w:t>
      </w:r>
      <w:r>
        <w:t xml:space="preserve">of</w:t>
      </w:r>
      <w:r>
        <w:t xml:space="preserve"> </w:t>
      </w:r>
      <w:r>
        <w:rPr>
          <w:b/>
          <w:bCs/>
        </w:rPr>
        <w:t xml:space="preserve">becoming infected</w:t>
      </w:r>
      <w:r>
        <w:t xml:space="preserve"> </w:t>
      </w:r>
      <w:r>
        <w:t xml:space="preserve">at that time point,</w:t>
      </w:r>
      <w:r>
        <w:t xml:space="preserve"> </w:t>
      </w:r>
      <w:r>
        <w:rPr>
          <w:b/>
          <w:bCs/>
        </w:rPr>
        <w:t xml:space="preserve">given</w:t>
      </w:r>
      <w:r>
        <w:t xml:space="preserve"> </w:t>
      </w:r>
      <w:r>
        <w:t xml:space="preserve">that they are</w:t>
      </w:r>
      <w:r>
        <w:t xml:space="preserve"> </w:t>
      </w:r>
      <w:r>
        <w:rPr>
          <w:b/>
          <w:bCs/>
        </w:rPr>
        <w:t xml:space="preserve">at risk</w:t>
      </w:r>
      <w:r>
        <w:t xml:space="preserve"> </w:t>
      </w:r>
      <w:r>
        <w:t xml:space="preserve">at that time point.</w:t>
      </w:r>
    </w:p>
    <w:p>
      <w:pPr>
        <w:numPr>
          <w:ilvl w:val="0"/>
          <w:numId w:val="1005"/>
        </w:numPr>
      </w:pPr>
      <w:r>
        <w:t xml:space="preserve">That is, the incidence rate is a</w:t>
      </w:r>
      <w:r>
        <w:t xml:space="preserve"> </w:t>
      </w:r>
      <w:r>
        <w:rPr>
          <w:b/>
          <w:bCs/>
        </w:rPr>
        <w:t xml:space="preserve">hazard</w:t>
      </w:r>
      <w:r>
        <w:t xml:space="preserve"> </w:t>
      </w:r>
      <w:r>
        <w:t xml:space="preserve">rate.</w:t>
      </w:r>
    </w:p>
    <w:p>
      <w:pPr>
        <w:numPr>
          <w:ilvl w:val="0"/>
          <w:numId w:val="1005"/>
        </w:numPr>
      </w:pPr>
      <w:r>
        <w:t xml:space="preserve">Notation: let’s use</w:t>
      </w:r>
      <w:r>
        <w:t xml:space="preserve"> </w:t>
      </w:r>
      <m:oMath>
        <m:sSub>
          <m:e>
            <m:r>
              <m:t>λ</m:t>
            </m:r>
          </m:e>
          <m:sub>
            <m:r>
              <m:t>t</m:t>
            </m:r>
          </m:sub>
        </m:sSub>
      </m:oMath>
      <w:r>
        <w:t xml:space="preserve"> </w:t>
      </w:r>
      <w:r>
        <w:t xml:space="preserve">to denote the incidence rate at time</w:t>
      </w:r>
      <w:r>
        <w:t xml:space="preserve"> </w:t>
      </w:r>
      <m:oMath>
        <m:r>
          <m:t>t</m:t>
        </m:r>
      </m:oMath>
      <w:r>
        <w:t xml:space="preserve">.</w:t>
      </w:r>
    </w:p>
    <w:bookmarkEnd w:id="39"/>
    <w:bookmarkEnd w:id="40"/>
    <w:bookmarkStart w:id="44" w:name="X692dd3848eaa2be35c7162f2cc08762f080ab63"/>
    <w:p>
      <w:pPr>
        <w:pStyle w:val="Heading1"/>
      </w:pPr>
      <w:r>
        <w:t xml:space="preserve">3. Study designs for estimating incidence rates</w:t>
      </w:r>
    </w:p>
    <w:bookmarkStart w:id="41" w:name="longitudinal-cohort-studies"/>
    <w:p>
      <w:pPr>
        <w:pStyle w:val="Heading2"/>
      </w:pPr>
      <w:r>
        <w:t xml:space="preserve">3.1 Longitudinal cohort studies</w:t>
      </w:r>
    </w:p>
    <w:p>
      <w:pPr>
        <w:pStyle w:val="FirstParagraph"/>
      </w:pPr>
      <w:r>
        <w:t xml:space="preserve">Incidence rates can be estimated from longitudinal cohort studies,</w:t>
      </w:r>
      <w:r>
        <w:t xml:space="preserve"> </w:t>
      </w:r>
      <w:r>
        <w:t xml:space="preserve">but cohort studies are:</w:t>
      </w:r>
    </w:p>
    <w:p>
      <w:pPr>
        <w:pStyle w:val="Compact"/>
        <w:numPr>
          <w:ilvl w:val="0"/>
          <w:numId w:val="1006"/>
        </w:numPr>
      </w:pPr>
      <w:r>
        <w:t xml:space="preserve">costly to conduct</w:t>
      </w:r>
    </w:p>
    <w:p>
      <w:pPr>
        <w:pStyle w:val="Compact"/>
        <w:numPr>
          <w:ilvl w:val="0"/>
          <w:numId w:val="1006"/>
        </w:numPr>
      </w:pPr>
      <w:r>
        <w:t xml:space="preserve">slow to produce results,</w:t>
      </w:r>
    </w:p>
    <w:p>
      <w:pPr>
        <w:pStyle w:val="Compact"/>
        <w:numPr>
          <w:ilvl w:val="0"/>
          <w:numId w:val="1006"/>
        </w:numPr>
      </w:pPr>
      <w:r>
        <w:t xml:space="preserve">vulnerable to selection and censoring (drop-out) biases</w:t>
      </w:r>
    </w:p>
    <w:bookmarkEnd w:id="41"/>
    <w:bookmarkStart w:id="42" w:name="clinical-case-data"/>
    <w:p>
      <w:pPr>
        <w:pStyle w:val="Heading2"/>
      </w:pPr>
      <w:r>
        <w:t xml:space="preserve">3.2 Clinical case data</w:t>
      </w:r>
    </w:p>
    <w:p>
      <w:pPr>
        <w:pStyle w:val="FirstParagraph"/>
      </w:pPr>
      <w:r>
        <w:t xml:space="preserve">Incidence rates can also be estimated from clinical case rates,</w:t>
      </w:r>
      <w:r>
        <w:t xml:space="preserve"> </w:t>
      </w:r>
      <w:r>
        <w:t xml:space="preserve">but clinical case rates undercount:</w:t>
      </w:r>
    </w:p>
    <w:p>
      <w:pPr>
        <w:pStyle w:val="Compact"/>
        <w:numPr>
          <w:ilvl w:val="0"/>
          <w:numId w:val="1007"/>
        </w:numPr>
      </w:pPr>
      <w:r>
        <w:t xml:space="preserve">asymptomatic cases</w:t>
      </w:r>
    </w:p>
    <w:p>
      <w:pPr>
        <w:pStyle w:val="Compact"/>
        <w:numPr>
          <w:ilvl w:val="0"/>
          <w:numId w:val="1007"/>
        </w:numPr>
      </w:pPr>
      <w:r>
        <w:t xml:space="preserve">symptomatic cases who don’t receive clinical care.</w:t>
      </w:r>
    </w:p>
    <w:bookmarkEnd w:id="42"/>
    <w:bookmarkStart w:id="43" w:name="cross-sectional-serosurveys"/>
    <w:p>
      <w:pPr>
        <w:pStyle w:val="Heading2"/>
      </w:pPr>
      <w:r>
        <w:t xml:space="preserve">3.3 Cross-sectional serosurveys</w:t>
      </w:r>
    </w:p>
    <w:p>
      <w:pPr>
        <w:pStyle w:val="FirstParagraph"/>
      </w:pPr>
      <w:r>
        <w:t xml:space="preserve">Alternatively, incidence rates can be estimated from biomarker data</w:t>
      </w:r>
      <w:r>
        <w:t xml:space="preserve"> </w:t>
      </w:r>
      <w:r>
        <w:t xml:space="preserve">collected through a single cross-sectional survey,</w:t>
      </w:r>
      <w:r>
        <w:t xml:space="preserve"> </w:t>
      </w:r>
      <w:r>
        <w:t xml:space="preserve">combined with a longitudinal model of</w:t>
      </w:r>
      <w:r>
        <w:t xml:space="preserve"> </w:t>
      </w:r>
      <w:r>
        <w:t xml:space="preserve">how those biomarkers respond to infection over time.</w:t>
      </w:r>
      <w:r>
        <w:t xml:space="preserve"> </w:t>
      </w:r>
      <w:r>
        <w:t xml:space="preserve">Compared with cohort studies and clinical case rates,</w:t>
      </w:r>
      <w:r>
        <w:t xml:space="preserve"> </w:t>
      </w:r>
      <w:r>
        <w:t xml:space="preserve">cross-sectional incidence estimation can</w:t>
      </w:r>
      <w:r>
        <w:t xml:space="preserve"> </w:t>
      </w:r>
      <w:r>
        <w:t xml:space="preserve">produce estimates that are:</w:t>
      </w:r>
    </w:p>
    <w:p>
      <w:pPr>
        <w:pStyle w:val="Compact"/>
        <w:numPr>
          <w:ilvl w:val="0"/>
          <w:numId w:val="1008"/>
        </w:numPr>
      </w:pPr>
      <w:r>
        <w:t xml:space="preserve">accurate</w:t>
      </w:r>
    </w:p>
    <w:p>
      <w:pPr>
        <w:pStyle w:val="Compact"/>
        <w:numPr>
          <w:ilvl w:val="0"/>
          <w:numId w:val="1008"/>
        </w:numPr>
      </w:pPr>
      <w:r>
        <w:t xml:space="preserve">timely</w:t>
      </w:r>
    </w:p>
    <w:p>
      <w:pPr>
        <w:pStyle w:val="Compact"/>
        <w:numPr>
          <w:ilvl w:val="0"/>
          <w:numId w:val="1008"/>
        </w:numPr>
      </w:pPr>
      <w:r>
        <w:t xml:space="preserve">cost-efficient</w:t>
      </w:r>
    </w:p>
    <w:p>
      <w:pPr>
        <w:pStyle w:val="FirstParagraph"/>
      </w:pPr>
      <w:r>
        <w:t xml:space="preserve">See</w:t>
      </w:r>
      <w:r>
        <w:t xml:space="preserve"> </w:t>
      </w:r>
      <w:r>
        <w:t xml:space="preserve">Hay et al. (2024)</w:t>
      </w:r>
      <w:r>
        <w:t xml:space="preserve"> </w:t>
      </w:r>
      <w:r>
        <w:t xml:space="preserve">for an overview.</w:t>
      </w:r>
    </w:p>
    <w:bookmarkEnd w:id="43"/>
    <w:bookmarkEnd w:id="44"/>
    <w:bookmarkStart w:id="77" w:name="Xbe5ebe555b3ef679e4d759bfe9ee88c74ef3ef7"/>
    <w:p>
      <w:pPr>
        <w:pStyle w:val="Heading1"/>
      </w:pPr>
      <w:r>
        <w:t xml:space="preserve">4. Estimating incidence from cross-sectional serosurveys</w:t>
      </w:r>
    </w:p>
    <w:bookmarkStart w:id="45" w:name="goal"/>
    <w:p>
      <w:pPr>
        <w:pStyle w:val="Heading2"/>
      </w:pPr>
      <w:r>
        <w:t xml:space="preserve">4.1 Goal</w:t>
      </w:r>
    </w:p>
    <w:p>
      <w:pPr>
        <w:pStyle w:val="BlockText"/>
      </w:pPr>
      <w:r>
        <w:t xml:space="preserve">Easily and reproducibly translate</w:t>
      </w:r>
      <w:r>
        <w:t xml:space="preserve"> </w:t>
      </w:r>
      <w:r>
        <w:rPr>
          <w:b/>
          <w:bCs/>
        </w:rPr>
        <w:t xml:space="preserve">quantitative antibody responses</w:t>
      </w:r>
      <w:r>
        <w:t xml:space="preserve"> </w:t>
      </w:r>
      <w:r>
        <w:t xml:space="preserve">at the population level into meaningful and accurate</w:t>
      </w:r>
      <w:r>
        <w:t xml:space="preserve"> </w:t>
      </w:r>
      <w:r>
        <w:rPr>
          <w:b/>
          <w:bCs/>
        </w:rPr>
        <w:t xml:space="preserve">epidemiological</w:t>
      </w:r>
      <w:r>
        <w:rPr>
          <w:b/>
          <w:bCs/>
        </w:rPr>
        <w:t xml:space="preserve"> </w:t>
      </w:r>
      <w:r>
        <w:rPr>
          <w:b/>
          <w:bCs/>
        </w:rPr>
        <w:t xml:space="preserve">measures of infection burden</w:t>
      </w:r>
      <w:r>
        <w:t xml:space="preserve">.</w:t>
      </w:r>
    </w:p>
    <w:bookmarkEnd w:id="45"/>
    <w:bookmarkStart w:id="46" w:name="antibody-responses-are-complicated"/>
    <w:p>
      <w:pPr>
        <w:pStyle w:val="Heading2"/>
      </w:pPr>
      <w:r>
        <w:t xml:space="preserve">4.2 Antibody responses are complicated</w:t>
      </w:r>
    </w:p>
    <w:p>
      <w:pPr>
        <w:pStyle w:val="FirstParagraph"/>
      </w:pPr>
      <w:r>
        <w:t xml:space="preserve">Using antibody levels to recover infection times is hard, because antibody</w:t>
      </w:r>
      <w:r>
        <w:t xml:space="preserve"> </w:t>
      </w:r>
      <w:r>
        <w:t xml:space="preserve">responses:</w:t>
      </w:r>
    </w:p>
    <w:p>
      <w:pPr>
        <w:pStyle w:val="Compact"/>
        <w:numPr>
          <w:ilvl w:val="0"/>
          <w:numId w:val="1009"/>
        </w:numPr>
      </w:pPr>
      <w:r>
        <w:rPr>
          <w:b/>
          <w:bCs/>
        </w:rPr>
        <w:t xml:space="preserve">decay over time</w:t>
      </w:r>
      <w:r>
        <w:t xml:space="preserve"> </w:t>
      </w:r>
      <w:r>
        <w:t xml:space="preserve">after infection</w:t>
      </w:r>
    </w:p>
    <w:p>
      <w:pPr>
        <w:pStyle w:val="Compact"/>
        <w:numPr>
          <w:ilvl w:val="0"/>
          <w:numId w:val="1009"/>
        </w:numPr>
      </w:pPr>
      <w:r>
        <w:rPr>
          <w:b/>
          <w:bCs/>
        </w:rPr>
        <w:t xml:space="preserve">vary from individual to individual</w:t>
      </w:r>
      <w:r>
        <w:t xml:space="preserve"> </w:t>
      </w:r>
      <w:r>
        <w:t xml:space="preserve">(age, immune function, prior</w:t>
      </w:r>
      <w:r>
        <w:t xml:space="preserve"> </w:t>
      </w:r>
      <w:r>
        <w:t xml:space="preserve">infections, vaccination)</w:t>
      </w:r>
    </w:p>
    <w:p>
      <w:pPr>
        <w:pStyle w:val="Compact"/>
        <w:numPr>
          <w:ilvl w:val="0"/>
          <w:numId w:val="1009"/>
        </w:numPr>
      </w:pPr>
      <w:r>
        <w:rPr>
          <w:b/>
          <w:bCs/>
        </w:rPr>
        <w:t xml:space="preserve">vary from measurement to measurement</w:t>
      </w:r>
      <w:r>
        <w:t xml:space="preserve"> </w:t>
      </w:r>
      <w:r>
        <w:t xml:space="preserve">(assay noise)</w:t>
      </w:r>
    </w:p>
    <w:p>
      <w:pPr>
        <w:pStyle w:val="Compact"/>
        <w:numPr>
          <w:ilvl w:val="0"/>
          <w:numId w:val="1009"/>
        </w:numPr>
      </w:pPr>
      <w:r>
        <w:t xml:space="preserve">can</w:t>
      </w:r>
      <w:r>
        <w:t xml:space="preserve"> </w:t>
      </w:r>
      <w:r>
        <w:rPr>
          <w:b/>
          <w:bCs/>
        </w:rPr>
        <w:t xml:space="preserve">cross-react</w:t>
      </w:r>
      <w:r>
        <w:t xml:space="preserve"> </w:t>
      </w:r>
      <w:r>
        <w:t xml:space="preserve">with antibodies from other exposures</w:t>
      </w:r>
    </w:p>
    <w:p>
      <w:pPr>
        <w:pStyle w:val="FirstParagraph"/>
      </w:pPr>
      <w:r>
        <w:t xml:space="preserve">Each of these complications has to be handled somewhere in the model:</w:t>
      </w:r>
      <w:r>
        <w:t xml:space="preserve"> </w:t>
      </w:r>
      <w:r>
        <w:t xml:space="preserve">waning, between-person heterogeneity, measurement error, and</w:t>
      </w:r>
      <w:r>
        <w:t xml:space="preserve"> </w:t>
      </w:r>
      <w:r>
        <w:t xml:space="preserve">cross-reactivity. The rest of this section builds that model up piece by</w:t>
      </w:r>
      <w:r>
        <w:t xml:space="preserve"> </w:t>
      </w:r>
      <w:r>
        <w:t xml:space="preserve">piece.</w:t>
      </w:r>
    </w:p>
    <w:bookmarkEnd w:id="46"/>
    <w:bookmarkStart w:id="47" w:name="cross-sectional-antibody-surveys"/>
    <w:p>
      <w:pPr>
        <w:pStyle w:val="Heading2"/>
      </w:pPr>
      <w:r>
        <w:t xml:space="preserve">4.3 Cross-sectional antibody surveys</w:t>
      </w:r>
    </w:p>
    <w:p>
      <w:pPr>
        <w:pStyle w:val="FirstParagraph"/>
      </w:pPr>
      <w:r>
        <w:t xml:space="preserve">Typically, it is difficult to estimate changes from a single time point.</w:t>
      </w:r>
      <w:r>
        <w:t xml:space="preserve"> </w:t>
      </w:r>
      <w:r>
        <w:t xml:space="preserve">However, we can sometimes make assumptions that allow us to do so.</w:t>
      </w:r>
      <w:r>
        <w:t xml:space="preserve"> </w:t>
      </w:r>
      <w:r>
        <w:t xml:space="preserve">In particular, if we assume that the incidence rate is constant over time,</w:t>
      </w:r>
      <w:r>
        <w:t xml:space="preserve"> </w:t>
      </w:r>
      <w:r>
        <w:t xml:space="preserve">then we can estimate incidence from a single cross-sectional survey.</w:t>
      </w:r>
    </w:p>
    <w:p>
      <w:pPr>
        <w:pStyle w:val="BodyText"/>
      </w:pPr>
      <w:r>
        <w:t xml:space="preserve">We will need two pieces of notation to formalize this process.</w:t>
      </w:r>
    </w:p>
    <w:p>
      <w:pPr>
        <w:numPr>
          <w:ilvl w:val="0"/>
          <w:numId w:val="1010"/>
        </w:numPr>
      </w:pPr>
      <w:r>
        <w:t xml:space="preserve">We recruit participants from the population of interest.</w:t>
      </w:r>
    </w:p>
    <w:p>
      <w:pPr>
        <w:numPr>
          <w:ilvl w:val="0"/>
          <w:numId w:val="1010"/>
        </w:numPr>
      </w:pPr>
      <w:r>
        <w:t xml:space="preserve">For each survey participant, we measure antibody levels</w:t>
      </w:r>
      <w:r>
        <w:t xml:space="preserve"> </w:t>
      </w:r>
      <m:oMath>
        <m:r>
          <m:rPr>
            <m:sty m:val="p"/>
          </m:rPr>
          <m:t>(</m:t>
        </m:r>
        <m:r>
          <m:t>Y</m:t>
        </m:r>
        <m:r>
          <m:rPr>
            <m:sty m:val="p"/>
          </m:rPr>
          <m:t>)</m:t>
        </m:r>
      </m:oMath>
      <w:r>
        <w:t xml:space="preserve"> </w:t>
      </w:r>
      <w:r>
        <w:t xml:space="preserve">for the disease of interest</w:t>
      </w:r>
    </w:p>
    <w:p>
      <w:pPr>
        <w:numPr>
          <w:ilvl w:val="0"/>
          <w:numId w:val="1010"/>
        </w:numPr>
      </w:pPr>
      <w:r>
        <w:t xml:space="preserve">Each participant was</w:t>
      </w:r>
      <w:r>
        <w:t xml:space="preserve"> </w:t>
      </w:r>
      <w:r>
        <w:rPr>
          <w:b/>
          <w:bCs/>
        </w:rPr>
        <w:t xml:space="preserve">most recently infected</w:t>
      </w:r>
      <w:r>
        <w:t xml:space="preserve"> </w:t>
      </w:r>
      <w:r>
        <w:t xml:space="preserve">at some time</w:t>
      </w:r>
      <w:r>
        <w:t xml:space="preserve"> </w:t>
      </w:r>
      <m:oMath>
        <m:r>
          <m:rPr>
            <m:sty m:val="p"/>
          </m:rPr>
          <m:t>(</m:t>
        </m:r>
        <m:r>
          <m:t>T</m:t>
        </m:r>
        <m:r>
          <m:rPr>
            <m:sty m:val="p"/>
          </m:rPr>
          <m:t>)</m:t>
        </m:r>
      </m:oMath>
      <w:r>
        <w:t xml:space="preserve"> </w:t>
      </w:r>
      <w:r>
        <w:rPr>
          <w:b/>
          <w:bCs/>
        </w:rPr>
        <w:t xml:space="preserve">prior</w:t>
      </w:r>
      <w:r>
        <w:t xml:space="preserve"> </w:t>
      </w:r>
      <w:r>
        <w:t xml:space="preserve">to when we measured their antibodies.</w:t>
      </w:r>
    </w:p>
    <w:p>
      <w:pPr>
        <w:pStyle w:val="Compact"/>
        <w:numPr>
          <w:ilvl w:val="0"/>
          <w:numId w:val="1011"/>
        </w:numPr>
      </w:pPr>
      <w:r>
        <w:t xml:space="preserve">If a participant has never been infected since birth, then</w:t>
      </w:r>
      <w:r>
        <w:t xml:space="preserve"> </w:t>
      </w:r>
      <m:oMath>
        <m:r>
          <m:t>T</m:t>
        </m:r>
      </m:oMath>
      <w:r>
        <w:t xml:space="preserve"> </w:t>
      </w:r>
      <w:r>
        <w:t xml:space="preserve">is undefined.</w:t>
      </w:r>
    </w:p>
    <w:p>
      <w:pPr>
        <w:pStyle w:val="Compact"/>
        <w:numPr>
          <w:ilvl w:val="0"/>
          <w:numId w:val="1012"/>
        </w:numPr>
      </w:pPr>
      <m:oMath>
        <m:r>
          <m:t>T</m:t>
        </m:r>
      </m:oMath>
      <w:r>
        <w:t xml:space="preserve"> </w:t>
      </w:r>
      <w:r>
        <w:t xml:space="preserve">is a</w:t>
      </w:r>
      <w:r>
        <w:t xml:space="preserve"> </w:t>
      </w:r>
      <w:r>
        <w:rPr>
          <w:b/>
          <w:bCs/>
        </w:rPr>
        <w:t xml:space="preserve">latent, unobserved variable</w:t>
      </w:r>
      <w:r>
        <w:t xml:space="preserve">.</w:t>
      </w:r>
    </w:p>
    <w:p>
      <w:pPr>
        <w:pStyle w:val="Compact"/>
        <w:numPr>
          <w:ilvl w:val="0"/>
          <w:numId w:val="1013"/>
        </w:numPr>
      </w:pPr>
      <w:r>
        <w:t xml:space="preserve">We</w:t>
      </w:r>
      <w:r>
        <w:t xml:space="preserve"> </w:t>
      </w:r>
      <w:r>
        <w:rPr>
          <w:b/>
          <w:bCs/>
        </w:rPr>
        <w:t xml:space="preserve">don’t directly observe</w:t>
      </w:r>
      <w:r>
        <w:rPr>
          <w:b/>
          <w:bCs/>
        </w:rPr>
        <w:t xml:space="preserve"> </w:t>
      </w:r>
      <m:oMath>
        <m:r>
          <m:t>T</m:t>
        </m:r>
      </m:oMath>
      <w:r>
        <w:t xml:space="preserve">; we</w:t>
      </w:r>
      <w:r>
        <w:t xml:space="preserve"> </w:t>
      </w:r>
      <w:r>
        <w:rPr>
          <w:b/>
          <w:bCs/>
        </w:rPr>
        <w:t xml:space="preserve">only observe</w:t>
      </w:r>
      <w:r>
        <w:rPr>
          <w:b/>
          <w:bCs/>
        </w:rPr>
        <w:t xml:space="preserve"> </w:t>
      </w:r>
      <m:oMath>
        <m:r>
          <m:t>Y</m:t>
        </m:r>
      </m:oMath>
      <w:r>
        <w:t xml:space="preserve">,</w:t>
      </w:r>
      <w:r>
        <w:t xml:space="preserve"> </w:t>
      </w:r>
      <w:r>
        <w:t xml:space="preserve">which we hope tells us something about</w:t>
      </w:r>
      <w:r>
        <w:t xml:space="preserve"> </w:t>
      </w:r>
      <m:oMath>
        <m:r>
          <m:t>T</m:t>
        </m:r>
      </m:oMath>
      <w:r>
        <w:t xml:space="preserve"> </w:t>
      </w:r>
      <w:r>
        <w:t xml:space="preserve">and</w:t>
      </w:r>
      <w:r>
        <w:t xml:space="preserve"> </w:t>
      </w:r>
      <m:oMath>
        <m:r>
          <m:t>λ</m:t>
        </m:r>
      </m:oMath>
      <w:r>
        <w:t xml:space="preserve">.</w:t>
      </w:r>
    </w:p>
    <w:bookmarkEnd w:id="47"/>
    <w:bookmarkStart w:id="49" w:name="modeling-assumptions"/>
    <w:p>
      <w:pPr>
        <w:pStyle w:val="Heading2"/>
      </w:pPr>
      <w:r>
        <w:t xml:space="preserve">4.4 Modeling assumptions</w:t>
      </w:r>
    </w:p>
    <w:p>
      <w:pPr>
        <w:pStyle w:val="FirstParagraph"/>
      </w:pPr>
      <w:r>
        <w:t xml:space="preserve">We</w:t>
      </w:r>
      <w:r>
        <w:t xml:space="preserve"> </w:t>
      </w:r>
      <w:r>
        <w:rPr>
          <w:b/>
          <w:bCs/>
        </w:rPr>
        <w:t xml:space="preserve">assume</w:t>
      </w:r>
      <w:r>
        <w:t xml:space="preserve"> </w:t>
      </w:r>
      <w:r>
        <w:t xml:space="preserve">that:</w:t>
      </w:r>
    </w:p>
    <w:p>
      <w:pPr>
        <w:pStyle w:val="Compact"/>
        <w:numPr>
          <w:ilvl w:val="0"/>
          <w:numId w:val="1014"/>
        </w:numPr>
      </w:pPr>
      <w:r>
        <w:t xml:space="preserve">The incidence rate is approximately</w:t>
      </w:r>
      <w:r>
        <w:t xml:space="preserve"> </w:t>
      </w:r>
      <w:r>
        <w:rPr>
          <w:b/>
          <w:bCs/>
        </w:rPr>
        <w:t xml:space="preserve">constant</w:t>
      </w:r>
      <w:r>
        <w:t xml:space="preserve"> </w:t>
      </w:r>
      <w:r>
        <w:rPr>
          <w:b/>
          <w:bCs/>
        </w:rPr>
        <w:t xml:space="preserve">over time</w:t>
      </w:r>
      <w:r>
        <w:t xml:space="preserve"> </w:t>
      </w:r>
      <w:r>
        <w:t xml:space="preserve">and</w:t>
      </w:r>
      <w:r>
        <w:t xml:space="preserve"> </w:t>
      </w:r>
      <w:r>
        <w:rPr>
          <w:b/>
          <w:bCs/>
        </w:rPr>
        <w:t xml:space="preserve">across the population</w:t>
      </w:r>
      <w:r>
        <w:t xml:space="preserve"> </w:t>
      </w:r>
      <w:r>
        <w:t xml:space="preserve">(</w:t>
      </w:r>
      <w:r>
        <w:t xml:space="preserve">“</w:t>
      </w:r>
      <w:r>
        <w:rPr>
          <w:b/>
          <w:bCs/>
        </w:rPr>
        <w:t xml:space="preserve">constant and homogenous incidence</w:t>
      </w:r>
      <w:r>
        <w:t xml:space="preserve">”</w:t>
      </w:r>
      <w:r>
        <w:t xml:space="preserve">)</w:t>
      </w:r>
    </w:p>
    <w:p>
      <w:pPr>
        <w:pStyle w:val="Compact"/>
        <w:numPr>
          <w:ilvl w:val="0"/>
          <w:numId w:val="1015"/>
        </w:numPr>
      </w:pPr>
      <w:r>
        <w:t xml:space="preserve">that is:</w:t>
      </w:r>
    </w:p>
    <w:p>
      <w:pPr>
        <w:pStyle w:val="Compact"/>
      </w:pPr>
      <m:oMathPara>
        <m:oMathParaPr>
          <m:jc m:val="center"/>
        </m:oMathParaPr>
        <m:oMath>
          <m:sSub>
            <m:e>
              <m:r>
                <m:t>λ</m:t>
              </m:r>
            </m:e>
            <m:sub>
              <m:r>
                <m:t>i</m:t>
              </m:r>
              <m:r>
                <m:rPr>
                  <m:sty m:val="p"/>
                </m:rPr>
                <m:t>,</m:t>
              </m:r>
              <m:r>
                <m:t>t</m:t>
              </m:r>
            </m:sub>
          </m:sSub>
          <m:r>
            <m:rPr>
              <m:sty m:val="p"/>
            </m:rPr>
            <m:t>=</m:t>
          </m:r>
          <m:r>
            <m:t>λ</m:t>
          </m:r>
          <m:r>
            <m:rPr>
              <m:sty m:val="p"/>
            </m:rPr>
            <m:t>,</m:t>
          </m:r>
          <m:r>
            <m:rPr>
              <m:sty m:val="p"/>
            </m:rPr>
            <m:t>∀</m:t>
          </m:r>
          <m:r>
            <m:t>i</m:t>
          </m:r>
          <m:r>
            <m:rPr>
              <m:sty m:val="p"/>
            </m:rPr>
            <m:t>,</m:t>
          </m:r>
          <m:r>
            <m:t>t</m:t>
          </m:r>
        </m:oMath>
      </m:oMathPara>
    </w:p>
    <w:p>
      <w:pPr>
        <w:pStyle w:val="FirstParagraph"/>
      </w:pPr>
      <w:r>
        <w:t xml:space="preserve">(We can analyze subpopulations separately to make homogeneity more plausible.)</w:t>
      </w:r>
    </w:p>
    <w:p>
      <w:pPr>
        <w:pStyle w:val="Compact"/>
        <w:numPr>
          <w:ilvl w:val="0"/>
          <w:numId w:val="1016"/>
        </w:numPr>
      </w:pPr>
      <w:r>
        <w:t xml:space="preserve">Participants are always at risk of a new infection,</w:t>
      </w:r>
      <w:r>
        <w:t xml:space="preserve"> </w:t>
      </w:r>
      <w:r>
        <w:t xml:space="preserve">regardless of how recently they have been infected</w:t>
      </w:r>
      <w:r>
        <w:t xml:space="preserve"> </w:t>
      </w:r>
      <w:r>
        <w:t xml:space="preserve">(</w:t>
      </w:r>
      <w:r>
        <w:t xml:space="preserve">“</w:t>
      </w:r>
      <w:r>
        <w:rPr>
          <w:b/>
          <w:bCs/>
        </w:rPr>
        <w:t xml:space="preserve">no lasting immunity</w:t>
      </w:r>
      <w:r>
        <w:t xml:space="preserve">”</w:t>
      </w:r>
      <w:r>
        <w:t xml:space="preserve">).</w:t>
      </w:r>
    </w:p>
    <w:p>
      <w:pPr>
        <w:pStyle w:val="FirstParagraph"/>
      </w:pPr>
      <w:r>
        <w:t xml:space="preserve">(For diseases like typhoid,</w:t>
      </w:r>
      <w:r>
        <w:t xml:space="preserve"> </w:t>
      </w:r>
      <w:r>
        <w:t xml:space="preserve">the no-immunity assumption may not hold exactly,</w:t>
      </w:r>
      <w:r>
        <w:t xml:space="preserve"> </w:t>
      </w:r>
      <w:r>
        <w:t xml:space="preserve">but hopefully approximately;</w:t>
      </w:r>
      <w:r>
        <w:t xml:space="preserve"> </w:t>
      </w:r>
      <w:r>
        <w:t xml:space="preserve">modeling the effects of re-exposure during an active infection is</w:t>
      </w:r>
      <w:r>
        <w:t xml:space="preserve"> </w:t>
      </w:r>
      <w:hyperlink r:id="rId48">
        <w:r>
          <w:rPr>
            <w:rStyle w:val="Hyperlink"/>
          </w:rPr>
          <w:t xml:space="preserve">on our to-do list</w:t>
        </w:r>
      </w:hyperlink>
      <w:r>
        <w:t xml:space="preserve">).</w:t>
      </w:r>
    </w:p>
    <w:bookmarkEnd w:id="49"/>
    <w:bookmarkStart w:id="50" w:name="time-since-infection-and-incidence"/>
    <w:p>
      <w:pPr>
        <w:pStyle w:val="Heading2"/>
      </w:pPr>
      <w:r>
        <w:t xml:space="preserve">4.5 Time since infection and incidence</w:t>
      </w:r>
    </w:p>
    <w:p>
      <w:pPr>
        <w:pStyle w:val="FirstParagraph"/>
      </w:pPr>
      <w:r>
        <w:t xml:space="preserve">Under those assumptions:</w:t>
      </w:r>
    </w:p>
    <w:p>
      <w:pPr>
        <w:pStyle w:val="BodyText"/>
      </w:pPr>
      <w:r>
        <w:t xml:space="preserve">. . .</w:t>
      </w:r>
    </w:p>
    <w:p>
      <w:pPr>
        <w:pStyle w:val="Compact"/>
        <w:numPr>
          <w:ilvl w:val="0"/>
          <w:numId w:val="1017"/>
        </w:numPr>
      </w:pPr>
      <m:oMath>
        <m:r>
          <m:t>T</m:t>
        </m:r>
      </m:oMath>
      <w:r>
        <w:t xml:space="preserve"> </w:t>
      </w:r>
      <w:r>
        <w:t xml:space="preserve">has an</w:t>
      </w:r>
      <w:r>
        <w:t xml:space="preserve"> </w:t>
      </w:r>
      <w:r>
        <w:rPr>
          <w:b/>
          <w:bCs/>
        </w:rPr>
        <w:t xml:space="preserve">exponential distribution</w:t>
      </w:r>
      <w:r>
        <w:t xml:space="preserve">:</w:t>
      </w:r>
    </w:p>
    <w:p>
      <w:pPr>
        <w:pStyle w:val="FirstParagraph"/>
      </w:pPr>
      <w:r>
        <w:t xml:space="preserve">. . .</w:t>
      </w:r>
    </w:p>
    <w:p>
      <w:pPr>
        <w:pStyle w:val="BodyText"/>
      </w:pPr>
      <w:r>
        <w:t xml:space="preserve">$$\operatorname{p}(T=t) =  \textcolor{red}{\lambda\operatorname{exp}\mathopen{}\left\{-\lambda t\right\}\mathclose{}}$$</w:t>
      </w:r>
    </w:p>
    <w:p>
      <w:pPr>
        <w:pStyle w:val="FirstParagraph"/>
      </w:pPr>
      <w:r>
        <w:t xml:space="preserve">. . .</w:t>
      </w:r>
    </w:p>
    <w:p>
      <w:pPr>
        <w:pStyle w:val="Compact"/>
        <w:numPr>
          <w:ilvl w:val="0"/>
          <w:numId w:val="1018"/>
        </w:numPr>
      </w:pPr>
      <w:r>
        <w:t xml:space="preserve">More precisely, the distribution is exponential</w:t>
      </w:r>
      <w:r>
        <w:t xml:space="preserve"> </w:t>
      </w:r>
      <w:r>
        <w:rPr>
          <w:b/>
          <w:bCs/>
        </w:rPr>
        <w:t xml:space="preserve">limited by age</w:t>
      </w:r>
      <w:r>
        <w:t xml:space="preserve"> </w:t>
      </w:r>
      <w:r>
        <w:t xml:space="preserve">at observation (</w:t>
      </w:r>
      <m:oMath>
        <m:r>
          <m:t>a</m:t>
        </m:r>
      </m:oMath>
      <w:r>
        <w:t xml:space="preserve">):</w:t>
      </w:r>
      <w:r>
        <w:t xml:space="preserve"> </w:t>
      </w:r>
      <w:r>
        <w:t xml:space="preserve">no one can have been infected before they were born,</w:t>
      </w:r>
      <w:r>
        <w:t xml:space="preserve"> </w:t>
      </w:r>
      <w:r>
        <w:t xml:space="preserve">so the density is supported on</w:t>
      </w:r>
      <w:r>
        <w:t xml:space="preserve"> </w:t>
      </w:r>
      <m:oMath>
        <m:r>
          <m:rPr>
            <m:sty m:val="p"/>
          </m:rPr>
          <m:t>[</m:t>
        </m:r>
        <m:r>
          <m:t>0</m:t>
        </m:r>
        <m:r>
          <m:rPr>
            <m:sty m:val="p"/>
          </m:rPr>
          <m:t>,</m:t>
        </m:r>
        <m:r>
          <m:t>a</m:t>
        </m:r>
        <m:r>
          <m:rPr>
            <m:sty m:val="p"/>
          </m:rPr>
          <m:t>]</m:t>
        </m:r>
      </m:oMath>
      <w:r>
        <w:t xml:space="preserve"> </w:t>
      </w:r>
      <w:r>
        <w:t xml:space="preserve">and the leftover probability,</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sits on</w:t>
      </w:r>
      <w:r>
        <w:t xml:space="preserve"> </w:t>
      </w:r>
      <w:r>
        <w:t xml:space="preserve">“never infected”</w:t>
      </w:r>
      <w:r>
        <w:t xml:space="preserve">:</w:t>
      </w:r>
    </w:p>
    <w:p>
      <w:pPr>
        <w:pStyle w:val="FirstParagraph"/>
      </w:pPr>
      <w:r>
        <w:t xml:space="preserve">. . .</w:t>
      </w:r>
    </w:p>
    <w:p>
      <w:pPr>
        <w:pStyle w:val="BodyText"/>
      </w:pPr>
      <w:r>
        <w:t xml:space="preserve">$$
    \operatorname{p}(T=t|A=a) = 1_{t \in[0,a]} \textcolor{red}{\lambda \operatorname{exp}\mathopen{}\left\{-\lambda t\right\}\mathclose{}} +
    1_{t = \text{NA}} \operatorname{exp}\mathopen{}\left\{-\lambda a\right\}\mathclose{}
    $$</w:t>
      </w:r>
    </w:p>
    <w:p>
      <w:pPr>
        <w:pStyle w:val="FirstParagraph"/>
      </w:pPr>
      <w:r>
        <w:t xml:space="preserve">. . .</w:t>
      </w:r>
    </w:p>
    <w:p>
      <w:pPr>
        <w:pStyle w:val="Compact"/>
        <w:numPr>
          <w:ilvl w:val="0"/>
          <w:numId w:val="1019"/>
        </w:numPr>
      </w:pPr>
      <w:r>
        <w:t xml:space="preserve">the rate parameter</w:t>
      </w:r>
      <w:r>
        <w:t xml:space="preserve"> </w:t>
      </w:r>
      <m:oMath>
        <m:r>
          <m:t>λ</m:t>
        </m:r>
      </m:oMath>
      <w:r>
        <w:t xml:space="preserve"> </w:t>
      </w:r>
      <w:r>
        <w:t xml:space="preserve">is the incidence rate</w:t>
      </w:r>
    </w:p>
    <w:p>
      <w:pPr>
        <w:pStyle w:val="FirstParagraph"/>
      </w:pPr>
      <w:r>
        <w:t xml:space="preserve">This is a time-to-event model,</w:t>
      </w:r>
      <w:r>
        <w:t xml:space="preserve"> </w:t>
      </w:r>
      <w:r>
        <w:t xml:space="preserve">looking</w:t>
      </w:r>
      <w:r>
        <w:t xml:space="preserve"> </w:t>
      </w:r>
      <w:r>
        <w:rPr>
          <w:b/>
          <w:bCs/>
        </w:rPr>
        <w:t xml:space="preserve">backwards in time</w:t>
      </w:r>
      <w:r>
        <w:t xml:space="preserve"> </w:t>
      </w:r>
      <w:r>
        <w:t xml:space="preserve">from the survey date</w:t>
      </w:r>
      <w:r>
        <w:t xml:space="preserve"> </w:t>
      </w:r>
      <w:r>
        <w:t xml:space="preserve">(when the blood sample was collected).</w:t>
      </w:r>
    </w:p>
    <w:p>
      <w:pPr>
        <w:pStyle w:val="BodyText"/>
      </w:pPr>
      <w:r>
        <w:t xml:space="preserve">The probability that</w:t>
      </w:r>
      <w:r>
        <w:t xml:space="preserve"> </w:t>
      </w:r>
      <w:r>
        <w:t xml:space="preserve">an individual was</w:t>
      </w:r>
      <w:r>
        <w:t xml:space="preserve"> </w:t>
      </w:r>
      <w:r>
        <w:rPr>
          <w:b/>
          <w:bCs/>
        </w:rPr>
        <w:t xml:space="preserve">last</w:t>
      </w:r>
      <w:r>
        <w:t xml:space="preserve"> </w:t>
      </w:r>
      <w:r>
        <w:t xml:space="preserve">infected</w:t>
      </w:r>
      <w:r>
        <w:t xml:space="preserve"> </w:t>
      </w:r>
      <m:oMath>
        <m:r>
          <m:t>t</m:t>
        </m:r>
      </m:oMath>
      <w:r>
        <w:t xml:space="preserve"> </w:t>
      </w:r>
      <w:r>
        <w:t xml:space="preserve">days ago,</w:t>
      </w:r>
      <w:r>
        <w:t xml:space="preserve"> </w:t>
      </w:r>
      <m:oMath>
        <m:r>
          <m:t>p</m:t>
        </m:r>
        <m:r>
          <m:rPr>
            <m:sty m:val="p"/>
          </m:rPr>
          <m:t>(</m:t>
        </m:r>
        <m:r>
          <m:t>T</m:t>
        </m:r>
        <m:r>
          <m:rPr>
            <m:sty m:val="p"/>
          </m:rPr>
          <m:t>=</m:t>
        </m:r>
        <m:r>
          <m:t>t</m:t>
        </m:r>
        <m:r>
          <m:rPr>
            <m:sty m:val="p"/>
          </m:rPr>
          <m:t>)</m:t>
        </m:r>
      </m:oMath>
      <w:r>
        <w:t xml:space="preserve">,</w:t>
      </w:r>
      <w:r>
        <w:t xml:space="preserve"> </w:t>
      </w:r>
      <w:r>
        <w:t xml:space="preserve">is equal to the probability of being infected at time</w:t>
      </w:r>
      <w:r>
        <w:t xml:space="preserve"> </w:t>
      </w:r>
      <m:oMath>
        <m:r>
          <m:t>t</m:t>
        </m:r>
      </m:oMath>
      <w:r>
        <w:t xml:space="preserve"> </w:t>
      </w:r>
      <w:r>
        <w:t xml:space="preserve">(i.e., the incidence rate at time</w:t>
      </w:r>
      <w:r>
        <w:t xml:space="preserve"> </w:t>
      </w:r>
      <m:oMath>
        <m:r>
          <m:t>t</m:t>
        </m:r>
      </m:oMath>
      <w:r>
        <w:t xml:space="preserve">,</w:t>
      </w:r>
      <w:r>
        <w:t xml:space="preserve"> </w:t>
      </w:r>
      <m:oMath>
        <m:r>
          <m:t>λ</m:t>
        </m:r>
      </m:oMath>
      <w:r>
        <w:t xml:space="preserve">)</w:t>
      </w:r>
      <w:r>
        <w:t xml:space="preserve"> </w:t>
      </w:r>
      <w:r>
        <w:t xml:space="preserve">times the probability of not being infected after time</w:t>
      </w:r>
      <w:r>
        <w:t xml:space="preserve"> </w:t>
      </w:r>
      <m:oMath>
        <m:r>
          <m:t>t</m:t>
        </m:r>
      </m:oMath>
      <w:r>
        <w:t xml:space="preserve">,</w:t>
      </w:r>
      <w:r>
        <w:t xml:space="preserve"> </w:t>
      </w:r>
      <w:r>
        <w:t xml:space="preserve">which turns out to be</w:t>
      </w:r>
      <w:r>
        <w:t xml:space="preserve"> </w:t>
      </w:r>
      <m:oMath>
        <m:r>
          <m:rPr>
            <m:sty m:val="p"/>
          </m:rPr>
          <m:t>exp</m:t>
        </m:r>
        <m:r>
          <m:t>​</m:t>
        </m:r>
        <m:d>
          <m:dPr>
            <m:begChr m:val="{"/>
            <m:sepChr m:val=""/>
            <m:endChr m:val="}"/>
            <m:grow/>
          </m:dPr>
          <m:e>
            <m:r>
              <m:rPr>
                <m:sty m:val="p"/>
              </m:rPr>
              <m:t>−</m:t>
            </m:r>
            <m:r>
              <m:t>λ</m:t>
            </m:r>
            <m:r>
              <m:t>t</m:t>
            </m:r>
          </m:e>
        </m:d>
        <m:r>
          <m:t>​</m:t>
        </m:r>
      </m:oMath>
      <w:r>
        <w:t xml:space="preserve">.</w:t>
      </w:r>
    </w:p>
    <w:p>
      <w:pPr>
        <w:pStyle w:val="BodyText"/>
      </w:pPr>
      <w:r>
        <w:t xml:space="preserve">The distribution of</w:t>
      </w:r>
      <w:r>
        <w:t xml:space="preserve"> </w:t>
      </w:r>
      <m:oMath>
        <m:r>
          <m:t>T</m:t>
        </m:r>
      </m:oMath>
      <w:r>
        <w:t xml:space="preserve"> </w:t>
      </w:r>
      <w:r>
        <w:t xml:space="preserve">is truncated by the patient’s birth date;</w:t>
      </w:r>
      <w:r>
        <w:t xml:space="preserve"> </w:t>
      </w:r>
      <w:r>
        <w:t xml:space="preserve">the probability that they have never been infected 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where</w:t>
      </w:r>
      <w:r>
        <w:t xml:space="preserve"> </w:t>
      </w:r>
      <m:oMath>
        <m:r>
          <m:t>a</m:t>
        </m:r>
      </m:oMath>
      <w:r>
        <w:t xml:space="preserve"> </w:t>
      </w:r>
      <w:r>
        <w:t xml:space="preserve">is the patient’s age at the time of the survey.</w:t>
      </w:r>
    </w:p>
    <w:bookmarkEnd w:id="50"/>
    <w:bookmarkStart w:id="51" w:name="likelihood-of-latent-infection-times"/>
    <w:p>
      <w:pPr>
        <w:pStyle w:val="Heading2"/>
      </w:pPr>
      <w:r>
        <w:t xml:space="preserve">4.6 Likelihood of latent infection times</w:t>
      </w:r>
    </w:p>
    <w:p>
      <w:pPr>
        <w:pStyle w:val="FirstParagraph"/>
      </w:pPr>
      <w:r>
        <w:t xml:space="preserve">If we could observe</w:t>
      </w:r>
      <w:r>
        <w:t xml:space="preserve"> </w:t>
      </w:r>
      <m:oMath>
        <m:r>
          <m:t>T</m:t>
        </m:r>
      </m:oMath>
      <w:r>
        <w:t xml:space="preserve">,</w:t>
      </w:r>
      <w:r>
        <w:t xml:space="preserve"> </w:t>
      </w:r>
      <w:r>
        <w:t xml:space="preserve">then we could estimate</w:t>
      </w:r>
      <w:r>
        <w:t xml:space="preserve"> </w:t>
      </w:r>
      <m:oMath>
        <m:r>
          <m:t>λ</m:t>
        </m:r>
      </m:oMath>
      <w:r>
        <w:t xml:space="preserve"> </w:t>
      </w:r>
      <w:r>
        <w:t xml:space="preserve">using a typical maximum likelihood approach.</w:t>
      </w:r>
    </w:p>
    <w:p>
      <w:pPr>
        <w:pStyle w:val="BodyText"/>
      </w:pPr>
      <w:r>
        <w:t xml:space="preserve">. . .</w:t>
      </w:r>
    </w:p>
    <w:p>
      <w:pPr>
        <w:pStyle w:val="BodyText"/>
      </w:pPr>
      <w:r>
        <w:t xml:space="preserve">Starting with the likelihood:</w:t>
      </w:r>
    </w:p>
    <w:p>
      <w:pPr>
        <w:pStyle w:val="BodyText"/>
      </w:pPr>
      <m:oMathPara>
        <m:oMathParaPr>
          <m:jc m:val="center"/>
        </m:oMathParaPr>
        <m:oMath>
          <m:sSup>
            <m:e>
              <m:r>
                <m:rPr>
                  <m:scr m:val="script"/>
                  <m:sty m:val="p"/>
                </m:rPr>
                <m:t>L</m:t>
              </m:r>
            </m:e>
            <m:sup>
              <m:r>
                <m:rPr>
                  <m:sty m:val="p"/>
                </m:rPr>
                <m:t>*</m:t>
              </m:r>
            </m:sup>
          </m:sSup>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r>
                <m:rPr>
                  <m:sty m:val="p"/>
                </m:rPr>
                <m:t>p</m:t>
              </m:r>
            </m:e>
          </m:nary>
          <m:r>
            <m:rPr>
              <m:sty m:val="p"/>
            </m:rPr>
            <m:t>(</m:t>
          </m:r>
          <m:r>
            <m:t>T</m:t>
          </m:r>
          <m:r>
            <m:rPr>
              <m:sty m:val="p"/>
            </m:rPr>
            <m:t>=</m:t>
          </m:r>
          <m:sSub>
            <m:e>
              <m:r>
                <m:t>t</m:t>
              </m:r>
            </m:e>
            <m:sub>
              <m:r>
                <m:t>i</m:t>
              </m:r>
            </m:sub>
          </m:sSub>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r>
                <m:t>λ</m:t>
              </m:r>
            </m:e>
          </m:nary>
          <m:r>
            <m:rPr>
              <m:sty m:val="p"/>
            </m:rPr>
            <m:t>exp</m:t>
          </m:r>
          <m:r>
            <m:t>​</m:t>
          </m:r>
          <m:d>
            <m:dPr>
              <m:begChr m:val="{"/>
              <m:sepChr m:val=""/>
              <m:endChr m:val="}"/>
              <m:grow/>
            </m:dPr>
            <m:e>
              <m:r>
                <m:rPr>
                  <m:sty m:val="p"/>
                </m:rPr>
                <m:t>−</m:t>
              </m:r>
              <m:r>
                <m:t>λ</m:t>
              </m:r>
              <m:sSub>
                <m:e>
                  <m:r>
                    <m:t>t</m:t>
                  </m:r>
                </m:e>
                <m:sub>
                  <m:r>
                    <m:t>i</m:t>
                  </m:r>
                </m:sub>
              </m:sSub>
            </m:e>
          </m:d>
          <m:r>
            <m:t>​</m:t>
          </m:r>
        </m:oMath>
      </m:oMathPara>
    </w:p>
    <w:p>
      <w:pPr>
        <w:pStyle w:val="FirstParagraph"/>
      </w:pPr>
      <w:r>
        <w:t xml:space="preserve">. . .</w:t>
      </w:r>
    </w:p>
    <w:p>
      <w:pPr>
        <w:pStyle w:val="BodyText"/>
      </w:pPr>
      <w:r>
        <w:t xml:space="preserve">Taking the logarithm of the likelihood:</w:t>
      </w:r>
    </w:p>
    <w:p>
      <w:pPr>
        <w:pStyle w:val="BodyText"/>
      </w:pPr>
      <m:oMathPara>
        <m:oMathParaPr>
          <m:jc m:val="center"/>
        </m:oMathParaPr>
        <m:oMath>
          <m:sSup>
            <m:e>
              <m:r>
                <m:t>ℓ</m:t>
              </m:r>
            </m:e>
            <m:sup>
              <m:r>
                <m:rPr>
                  <m:sty m:val="p"/>
                </m:rPr>
                <m:t>*</m:t>
              </m:r>
            </m:sup>
          </m:sSup>
          <m:r>
            <m:rPr>
              <m:sty m:val="p"/>
            </m:rPr>
            <m:t>(</m:t>
          </m:r>
          <m:r>
            <m:t>λ</m:t>
          </m:r>
          <m:r>
            <m:rPr>
              <m:sty m:val="p"/>
            </m:rPr>
            <m:t>)</m:t>
          </m:r>
          <m:r>
            <m:rPr>
              <m:sty m:val="p"/>
            </m:rPr>
            <m:t>=</m:t>
          </m:r>
          <m:r>
            <m:rPr>
              <m:sty m:val="p"/>
            </m:rPr>
            <m:t>log</m:t>
          </m:r>
          <m:r>
            <m:t>​</m:t>
          </m:r>
          <m:d>
            <m:dPr>
              <m:begChr m:val="{"/>
              <m:sepChr m:val=""/>
              <m:endChr m:val="}"/>
              <m:grow/>
            </m:dPr>
            <m:e>
              <m:sSup>
                <m:e>
                  <m:r>
                    <m:rPr>
                      <m:scr m:val="script"/>
                      <m:sty m:val="p"/>
                    </m:rPr>
                    <m:t>L</m:t>
                  </m:r>
                </m:e>
                <m:sup>
                  <m:r>
                    <m:rPr>
                      <m:sty m:val="p"/>
                    </m:rPr>
                    <m:t>*</m:t>
                  </m:r>
                </m:sup>
              </m:sSup>
              <m:r>
                <m:rPr>
                  <m:sty m:val="p"/>
                </m:rPr>
                <m:t>(</m:t>
              </m:r>
              <m:r>
                <m:t>λ</m:t>
              </m:r>
              <m:r>
                <m:rPr>
                  <m:sty m:val="p"/>
                </m:rPr>
                <m:t>)</m:t>
              </m:r>
            </m:e>
          </m:d>
          <m:r>
            <m:t>​</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rPr>
                  <m:sty m:val="p"/>
                </m:rPr>
                <m:t>log</m:t>
              </m:r>
              <m:r>
                <m:t>​</m:t>
              </m:r>
              <m:d>
                <m:dPr>
                  <m:begChr m:val="{"/>
                  <m:sepChr m:val=""/>
                  <m:endChr m:val="}"/>
                  <m:grow/>
                </m:dPr>
                <m:e>
                  <m:r>
                    <m:t>λ</m:t>
                  </m:r>
                </m:e>
              </m:d>
              <m:r>
                <m:t>​</m:t>
              </m:r>
              <m:r>
                <m:rPr>
                  <m:sty m:val="p"/>
                </m:rPr>
                <m:t>−</m:t>
              </m:r>
              <m:r>
                <m:t>λ</m:t>
              </m:r>
              <m:sSub>
                <m:e>
                  <m:r>
                    <m:t>t</m:t>
                  </m:r>
                </m:e>
                <m:sub>
                  <m:r>
                    <m:t>i</m:t>
                  </m:r>
                </m:sub>
              </m:sSub>
            </m:e>
          </m:d>
          <m:r>
            <m:t>​</m:t>
          </m:r>
        </m:oMath>
      </m:oMathPara>
    </w:p>
    <w:p>
      <w:pPr>
        <w:pStyle w:val="FirstParagraph"/>
      </w:pPr>
      <w:r>
        <w:t xml:space="preserve">. . .</w:t>
      </w:r>
    </w:p>
    <w:p>
      <w:pPr>
        <w:pStyle w:val="BodyText"/>
      </w:pPr>
      <w:r>
        <w:t xml:space="preserve">Taking the derivative of that log-likelihood to find the score function:</w:t>
      </w:r>
    </w:p>
    <w:p>
      <w:pPr>
        <w:pStyle w:val="BodyText"/>
      </w:pPr>
      <m:oMathPara>
        <m:oMathParaPr>
          <m:jc m:val="center"/>
        </m:oMathParaPr>
        <m:oMath>
          <m:sSup>
            <m:e>
              <m:r>
                <m:t>ℓ</m:t>
              </m:r>
            </m:e>
            <m:sup>
              <m:sSup>
                <m:e>
                  <m:r>
                    <m:rPr>
                      <m:sty m:val="p"/>
                    </m:rPr>
                    <m:t>*</m:t>
                  </m:r>
                </m:e>
                <m:sup>
                  <m:r>
                    <m:rPr>
                      <m:sty m:val="p"/>
                    </m:rPr>
                    <m:t>′</m:t>
                  </m:r>
                </m:sup>
              </m:sSup>
            </m:sup>
          </m:sSup>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t>​</m:t>
              </m:r>
              <m:sSup>
                <m:e>
                  <m:d>
                    <m:dPr>
                      <m:begChr m:val="("/>
                      <m:sepChr m:val=""/>
                      <m:endChr m:val=")"/>
                      <m:grow/>
                    </m:dPr>
                    <m:e>
                      <m:r>
                        <m:t>λ</m:t>
                      </m:r>
                    </m:e>
                  </m:d>
                </m:e>
                <m:sup>
                  <m:r>
                    <m:rPr>
                      <m:sty m:val="p"/>
                    </m:rPr>
                    <m:t>−</m:t>
                  </m:r>
                  <m:r>
                    <m:t>1</m:t>
                  </m:r>
                </m:sup>
              </m:sSup>
              <m:r>
                <m:t>​</m:t>
              </m:r>
              <m:r>
                <m:rPr>
                  <m:sty m:val="p"/>
                </m:rPr>
                <m:t>−</m:t>
              </m:r>
              <m:sSub>
                <m:e>
                  <m:r>
                    <m:t>t</m:t>
                  </m:r>
                </m:e>
                <m:sub>
                  <m:r>
                    <m:t>i</m:t>
                  </m:r>
                </m:sub>
              </m:sSub>
            </m:e>
          </m:d>
          <m:r>
            <m:t>​</m:t>
          </m:r>
        </m:oMath>
      </m:oMathPara>
    </w:p>
    <w:p>
      <w:pPr>
        <w:pStyle w:val="FirstParagraph"/>
      </w:pPr>
      <w:r>
        <w:t xml:space="preserve">. . .</w:t>
      </w:r>
    </w:p>
    <w:p>
      <w:pPr>
        <w:pStyle w:val="BodyText"/>
      </w:pPr>
      <w:r>
        <w:t xml:space="preserve">Setting the score function equal to 0 to find the score equation,</w:t>
      </w:r>
      <w:r>
        <w:t xml:space="preserve"> </w:t>
      </w:r>
      <w:r>
        <w:t xml:space="preserve">and solving the score equation for</w:t>
      </w:r>
      <w:r>
        <w:t xml:space="preserve"> </w:t>
      </w:r>
      <m:oMath>
        <m:r>
          <m:t>λ</m:t>
        </m:r>
      </m:oMath>
      <w:r>
        <w:t xml:space="preserve"> </w:t>
      </w:r>
      <w:r>
        <w:t xml:space="preserve">to find the maximum likelihood estimate:</w:t>
      </w:r>
    </w:p>
    <w:p>
      <w:pPr>
        <w:pStyle w:val="BodyText"/>
      </w:pPr>
      <m:oMathPara>
        <m:oMathParaPr>
          <m:jc m:val="center"/>
        </m:oMathParaPr>
        <m:oMath>
          <m:sSub>
            <m:e>
              <m:acc>
                <m:accPr>
                  <m:chr m:val="̂"/>
                </m:accPr>
                <m:e>
                  <m:r>
                    <m:t>λ</m:t>
                  </m:r>
                </m:e>
              </m:acc>
            </m:e>
            <m:sub>
              <m:r>
                <m:rPr>
                  <m:nor/>
                  <m:sty m:val="p"/>
                </m:rPr>
                <m:t>ML</m:t>
              </m:r>
            </m:sub>
          </m:sSub>
          <m:r>
            <m:rPr>
              <m:sty m:val="p"/>
            </m:rPr>
            <m:t>=</m:t>
          </m:r>
          <m:f>
            <m:fPr>
              <m:type m:val="bar"/>
            </m:fPr>
            <m:num>
              <m:r>
                <m:t>n</m:t>
              </m:r>
            </m:num>
            <m:den>
              <m:nary>
                <m:naryPr>
                  <m:chr m:val="∑"/>
                  <m:limLoc m:val="undOvr"/>
                  <m:subHide m:val="off"/>
                  <m:supHide m:val="off"/>
                </m:naryPr>
                <m:sub>
                  <m:r>
                    <m:t>i</m:t>
                  </m:r>
                  <m:r>
                    <m:rPr>
                      <m:sty m:val="p"/>
                    </m:rPr>
                    <m:t>=</m:t>
                  </m:r>
                  <m:r>
                    <m:t>1</m:t>
                  </m:r>
                </m:sub>
                <m:sup>
                  <m:r>
                    <m:t>n</m:t>
                  </m:r>
                </m:sup>
                <m:e>
                  <m:sSub>
                    <m:e>
                      <m:r>
                        <m:t>t</m:t>
                      </m:r>
                    </m:e>
                    <m:sub>
                      <m:r>
                        <m:t>i</m:t>
                      </m:r>
                    </m:sub>
                  </m:sSub>
                </m:e>
              </m:nary>
            </m:den>
          </m:f>
          <m:r>
            <m:rPr>
              <m:sty m:val="p"/>
            </m:rPr>
            <m:t>=</m:t>
          </m:r>
          <m:f>
            <m:fPr>
              <m:type m:val="bar"/>
            </m:fPr>
            <m:num>
              <m:r>
                <m:t>1</m:t>
              </m:r>
            </m:num>
            <m:den>
              <m:acc>
                <m:accPr>
                  <m:chr m:val="‾"/>
                </m:accPr>
                <m:e>
                  <m:r>
                    <m:t>t</m:t>
                  </m:r>
                </m:e>
              </m:acc>
            </m:den>
          </m:f>
        </m:oMath>
      </m:oMathPara>
    </w:p>
    <w:p>
      <w:pPr>
        <w:pStyle w:val="FirstParagraph"/>
      </w:pPr>
      <w:r>
        <w:t xml:space="preserve">The MLE turns out to be the inverse of the mean.</w:t>
      </w:r>
    </w:p>
    <w:bookmarkEnd w:id="51"/>
    <w:bookmarkStart w:id="56" w:name="example-log-likelihood-curves"/>
    <w:p>
      <w:pPr>
        <w:pStyle w:val="Heading2"/>
      </w:pPr>
      <w:r>
        <w:t xml:space="preserve">4.7 Example log-likelihood curves</w:t>
      </w:r>
    </w:p>
    <w:p>
      <w:pPr>
        <w:pStyle w:val="FirstParagraph"/>
      </w:pPr>
      <w:r>
        <w:t xml:space="preserve">Here’s what that would look like:</w:t>
      </w:r>
    </w:p>
    <w:p>
      <w:pPr>
        <w:pStyle w:val="SourceCode"/>
      </w:pPr>
      <w:r>
        <w:rPr>
          <w:rStyle w:val="FunctionTok"/>
        </w:rPr>
        <w:t xml:space="preserve">library</w:t>
      </w:r>
      <w:r>
        <w:rPr>
          <w:rStyle w:val="NormalTok"/>
        </w:rPr>
        <w:t xml:space="preserve">(serodynamics)</w:t>
      </w:r>
      <w:r>
        <w:br/>
      </w:r>
      <w:r>
        <w:rPr>
          <w:rStyle w:val="FunctionTok"/>
        </w:rPr>
        <w:t xml:space="preserve">library</w:t>
      </w:r>
      <w:r>
        <w:rPr>
          <w:rStyle w:val="NormalTok"/>
        </w:rPr>
        <w:t xml:space="preserve">(serocalculator)</w:t>
      </w:r>
      <w:r>
        <w:br/>
      </w:r>
      <w:r>
        <w:rPr>
          <w:rStyle w:val="FunctionTok"/>
        </w:rPr>
        <w:t xml:space="preserve">library</w:t>
      </w:r>
      <w:r>
        <w:rPr>
          <w:rStyle w:val="NormalTok"/>
        </w:rPr>
        <w:t xml:space="preserve">(dplyr)</w:t>
      </w:r>
      <w:r>
        <w:br/>
      </w:r>
      <w:r>
        <w:rPr>
          <w:rStyle w:val="NormalTok"/>
        </w:rPr>
        <w:t xml:space="preserve">antibodies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"HlyE_IgA"</w:t>
      </w:r>
      <w:r>
        <w:rPr>
          <w:rStyle w:val="NormalTok"/>
        </w:rPr>
        <w:t xml:space="preserve">, </w:t>
      </w:r>
      <w:r>
        <w:rPr>
          <w:rStyle w:val="StringTok"/>
        </w:rPr>
        <w:t xml:space="preserve">"HlyE_IgG"</w:t>
      </w:r>
      <w:r>
        <w:rPr>
          <w:rStyle w:val="NormalTok"/>
        </w:rPr>
        <w:t xml:space="preserve">)</w:t>
      </w:r>
      <w:r>
        <w:br/>
      </w:r>
      <w:r>
        <w:rPr>
          <w:rStyle w:val="FunctionTok"/>
        </w:rPr>
        <w:t xml:space="preserve">set.seed</w:t>
      </w:r>
      <w:r>
        <w:rPr>
          <w:rStyle w:val="NormalTok"/>
        </w:rPr>
        <w:t xml:space="preserve">(</w:t>
      </w:r>
      <w:r>
        <w:rPr>
          <w:rStyle w:val="DecValTok"/>
        </w:rPr>
        <w:t xml:space="preserve">1</w:t>
      </w:r>
      <w:r>
        <w:rPr>
          <w:rStyle w:val="NormalTok"/>
        </w:rPr>
        <w:t xml:space="preserve">)</w:t>
      </w:r>
      <w:r>
        <w:br/>
      </w:r>
      <w:r>
        <w:br/>
      </w:r>
      <w:r>
        <w:rPr>
          <w:rStyle w:val="NormalTok"/>
        </w:rPr>
        <w:t xml:space="preserve">sim_case_data </w:t>
      </w:r>
      <w:r>
        <w:rPr>
          <w:rStyle w:val="OtherTok"/>
        </w:rPr>
        <w:t xml:space="preserve">&lt;-</w:t>
      </w:r>
      <w:r>
        <w:br/>
      </w:r>
      <w:r>
        <w:rPr>
          <w:rStyle w:val="NormalTok"/>
        </w:rPr>
        <w:t xml:space="preserve">  serocalculator</w:t>
      </w:r>
      <w:r>
        <w:rPr>
          <w:rStyle w:val="SpecialCharTok"/>
        </w:rPr>
        <w:t xml:space="preserve">::</w:t>
      </w:r>
      <w:r>
        <w:rPr>
          <w:rStyle w:val="NormalTok"/>
        </w:rPr>
        <w:t xml:space="preserve">typhoid_curves_nostrat_100 </w:t>
      </w:r>
      <w:r>
        <w:rPr>
          <w:rStyle w:val="SpecialCharTok"/>
        </w:rPr>
        <w:t xml:space="preserve">|&gt;</w:t>
      </w:r>
      <w:r>
        <w:br/>
      </w:r>
      <w:r>
        <w:rPr>
          <w:rStyle w:val="NormalTok"/>
        </w:rPr>
        <w:t xml:space="preserve">  </w:t>
      </w:r>
      <w:r>
        <w:rPr>
          <w:rStyle w:val="FunctionTok"/>
        </w:rPr>
        <w:t xml:space="preserve">sim_case_data</w:t>
      </w:r>
      <w:r>
        <w:rPr>
          <w:rStyle w:val="NormalTok"/>
        </w:rPr>
        <w:t xml:space="preserve">(</w:t>
      </w:r>
      <w:r>
        <w:rPr>
          <w:rStyle w:val="AttributeTok"/>
        </w:rPr>
        <w:t xml:space="preserve">n =</w:t>
      </w:r>
      <w:r>
        <w:rPr>
          <w:rStyle w:val="NormalTok"/>
        </w:rPr>
        <w:t xml:space="preserve"> </w:t>
      </w:r>
      <w:r>
        <w:rPr>
          <w:rStyle w:val="DecValTok"/>
        </w:rPr>
        <w:t xml:space="preserve">5</w:t>
      </w:r>
      <w:r>
        <w:rPr>
          <w:rStyle w:val="NormalTok"/>
        </w:rPr>
        <w:t xml:space="preserve">, </w:t>
      </w:r>
      <w:r>
        <w:br/>
      </w:r>
      <w:r>
        <w:rPr>
          <w:rStyle w:val="NormalTok"/>
        </w:rPr>
        <w:t xml:space="preserve">                </w:t>
      </w:r>
      <w:r>
        <w:rPr>
          <w:rStyle w:val="AttributeTok"/>
        </w:rPr>
        <w:t xml:space="preserve">antigen_isos =</w:t>
      </w:r>
      <w:r>
        <w:rPr>
          <w:rStyle w:val="NormalTok"/>
        </w:rPr>
        <w:t xml:space="preserve"> antibodies,</w:t>
      </w:r>
      <w:r>
        <w:br/>
      </w:r>
      <w:r>
        <w:rPr>
          <w:rStyle w:val="NormalTok"/>
        </w:rPr>
        <w:t xml:space="preserve">                </w:t>
      </w:r>
      <w:r>
        <w:rPr>
          <w:rStyle w:val="AttributeTok"/>
        </w:rPr>
        <w:t xml:space="preserve">max_n_obs =</w:t>
      </w:r>
      <w:r>
        <w:rPr>
          <w:rStyle w:val="NormalTok"/>
        </w:rPr>
        <w:t xml:space="preserve"> </w:t>
      </w:r>
      <w:r>
        <w:rPr>
          <w:rStyle w:val="DecValTok"/>
        </w:rPr>
        <w:t xml:space="preserve">20</w:t>
      </w:r>
      <w:r>
        <w:rPr>
          <w:rStyle w:val="NormalTok"/>
        </w:rPr>
        <w:t xml:space="preserve">, </w:t>
      </w:r>
      <w:r>
        <w:rPr>
          <w:rStyle w:val="AttributeTok"/>
        </w:rPr>
        <w:t xml:space="preserve">followup_interval =</w:t>
      </w:r>
      <w:r>
        <w:rPr>
          <w:rStyle w:val="NormalTok"/>
        </w:rPr>
        <w:t xml:space="preserve"> </w:t>
      </w:r>
      <w:r>
        <w:rPr>
          <w:rStyle w:val="DecValTok"/>
        </w:rPr>
        <w:t xml:space="preserve">14</w:t>
      </w:r>
      <w:r>
        <w:rPr>
          <w:rStyle w:val="NormalTok"/>
        </w:rPr>
        <w:t xml:space="preserve">)</w:t>
      </w:r>
      <w:r>
        <w:br/>
      </w:r>
      <w:r>
        <w:br/>
      </w:r>
      <w:r>
        <w:rPr>
          <w:rStyle w:val="NormalTok"/>
        </w:rPr>
        <w:t xml:space="preserve">t1 </w:t>
      </w:r>
      <w:r>
        <w:rPr>
          <w:rStyle w:val="OtherTok"/>
        </w:rPr>
        <w:t xml:space="preserve">&lt;-</w:t>
      </w:r>
      <w:r>
        <w:rPr>
          <w:rStyle w:val="NormalTok"/>
        </w:rPr>
        <w:t xml:space="preserve"> sim_case_data</w:t>
      </w:r>
      <w:r>
        <w:rPr>
          <w:rStyle w:val="SpecialCharTok"/>
        </w:rPr>
        <w:t xml:space="preserve">$</w:t>
      </w:r>
      <w:r>
        <w:rPr>
          <w:rStyle w:val="NormalTok"/>
        </w:rPr>
        <w:t xml:space="preserve">timeindays</w:t>
      </w:r>
      <w:r>
        <w:br/>
      </w:r>
      <w:r>
        <w:rPr>
          <w:rStyle w:val="NormalTok"/>
        </w:rPr>
        <w:t xml:space="preserve">loglik0 </w:t>
      </w:r>
      <w:r>
        <w:rPr>
          <w:rStyle w:val="OtherTok"/>
        </w:rPr>
        <w:t xml:space="preserve">&lt;-</w:t>
      </w:r>
      <w:r>
        <w:rPr>
          <w:rStyle w:val="NormalTok"/>
        </w:rPr>
        <w:t xml:space="preserve"> </w:t>
      </w:r>
      <w:r>
        <w:rPr>
          <w:rStyle w:val="ControlFlowTok"/>
        </w:rPr>
        <w:t xml:space="preserve">function</w:t>
      </w:r>
      <w:r>
        <w:rPr>
          <w:rStyle w:val="NormalTok"/>
        </w:rPr>
        <w:t xml:space="preserve">(lambda) {</w:t>
      </w:r>
      <w:r>
        <w:br/>
      </w:r>
      <w:r>
        <w:rPr>
          <w:rStyle w:val="NormalTok"/>
        </w:rPr>
        <w:t xml:space="preserve">  </w:t>
      </w:r>
      <w:r>
        <w:rPr>
          <w:rStyle w:val="FunctionTok"/>
        </w:rPr>
        <w:t xml:space="preserve">sum</w:t>
      </w:r>
      <w:r>
        <w:rPr>
          <w:rStyle w:val="NormalTok"/>
        </w:rPr>
        <w:t xml:space="preserve">(</w:t>
      </w:r>
      <w:r>
        <w:br/>
      </w:r>
      <w:r>
        <w:rPr>
          <w:rStyle w:val="NormalTok"/>
        </w:rPr>
        <w:t xml:space="preserve">    </w:t>
      </w:r>
      <w:r>
        <w:rPr>
          <w:rStyle w:val="FunctionTok"/>
        </w:rPr>
        <w:t xml:space="preserve">dexp</w:t>
      </w:r>
      <w:r>
        <w:rPr>
          <w:rStyle w:val="NormalTok"/>
        </w:rPr>
        <w:t xml:space="preserve">(t1, </w:t>
      </w:r>
      <w:r>
        <w:rPr>
          <w:rStyle w:val="AttributeTok"/>
        </w:rPr>
        <w:t xml:space="preserve">rate =</w:t>
      </w:r>
      <w:r>
        <w:rPr>
          <w:rStyle w:val="NormalTok"/>
        </w:rPr>
        <w:t xml:space="preserve"> lambda, </w:t>
      </w:r>
      <w:r>
        <w:rPr>
          <w:rStyle w:val="AttributeTok"/>
        </w:rPr>
        <w:t xml:space="preserve">log =</w:t>
      </w:r>
      <w:r>
        <w:rPr>
          <w:rStyle w:val="NormalTok"/>
        </w:rPr>
        <w:t xml:space="preserve"> </w:t>
      </w:r>
      <w:r>
        <w:rPr>
          <w:rStyle w:val="ConstantTok"/>
        </w:rPr>
        <w:t xml:space="preserve">TRUE</w:t>
      </w:r>
      <w:r>
        <w:rPr>
          <w:rStyle w:val="NormalTok"/>
        </w:rPr>
        <w:t xml:space="preserve">)</w:t>
      </w:r>
      <w:r>
        <w:br/>
      </w:r>
      <w:r>
        <w:rPr>
          <w:rStyle w:val="NormalTok"/>
        </w:rPr>
        <w:t xml:space="preserve">  )</w:t>
      </w:r>
      <w:r>
        <w:br/>
      </w:r>
      <w:r>
        <w:rPr>
          <w:rStyle w:val="NormalTok"/>
        </w:rPr>
        <w:t xml:space="preserve">}</w:t>
      </w:r>
      <w:r>
        <w:br/>
      </w:r>
      <w:r>
        <w:rPr>
          <w:rStyle w:val="NormalTok"/>
        </w:rPr>
        <w:t xml:space="preserve">loglik1 </w:t>
      </w:r>
      <w:r>
        <w:rPr>
          <w:rStyle w:val="OtherTok"/>
        </w:rPr>
        <w:t xml:space="preserve">&lt;-</w:t>
      </w:r>
      <w:r>
        <w:rPr>
          <w:rStyle w:val="NormalTok"/>
        </w:rPr>
        <w:t xml:space="preserve"> </w:t>
      </w:r>
      <w:r>
        <w:rPr>
          <w:rStyle w:val="FunctionTok"/>
        </w:rPr>
        <w:t xml:space="preserve">Vectorize</w:t>
      </w:r>
      <w:r>
        <w:rPr>
          <w:rStyle w:val="NormalTok"/>
        </w:rPr>
        <w:t xml:space="preserve">(loglik0, </w:t>
      </w:r>
      <w:r>
        <w:rPr>
          <w:rStyle w:val="AttributeTok"/>
        </w:rPr>
        <w:t xml:space="preserve">vectorize.args =</w:t>
      </w:r>
      <w:r>
        <w:rPr>
          <w:rStyle w:val="NormalTok"/>
        </w:rPr>
        <w:t xml:space="preserve"> </w:t>
      </w:r>
      <w:r>
        <w:rPr>
          <w:rStyle w:val="StringTok"/>
        </w:rPr>
        <w:t xml:space="preserve">"lambda"</w:t>
      </w:r>
      <w:r>
        <w:rPr>
          <w:rStyle w:val="NormalTok"/>
        </w:rPr>
        <w:t xml:space="preserve">)</w:t>
      </w:r>
      <w:r>
        <w:br/>
      </w:r>
      <w:r>
        <w:br/>
      </w:r>
      <w:r>
        <w:rPr>
          <w:rStyle w:val="FunctionTok"/>
        </w:rPr>
        <w:t xml:space="preserve">library</w:t>
      </w:r>
      <w:r>
        <w:rPr>
          <w:rStyle w:val="NormalTok"/>
        </w:rPr>
        <w:t xml:space="preserve">(ggplot2)</w:t>
      </w:r>
      <w:r>
        <w:br/>
      </w:r>
      <w:r>
        <w:br/>
      </w:r>
      <w:r>
        <w:rPr>
          <w:rStyle w:val="FunctionTok"/>
        </w:rPr>
        <w:t xml:space="preserve">ggplot</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geom_function</w:t>
      </w:r>
      <w:r>
        <w:rPr>
          <w:rStyle w:val="NormalTok"/>
        </w:rPr>
        <w:t xml:space="preserve">(</w:t>
      </w:r>
      <w:r>
        <w:rPr>
          <w:rStyle w:val="AttributeTok"/>
        </w:rPr>
        <w:t xml:space="preserve">fun =</w:t>
      </w:r>
      <w:r>
        <w:rPr>
          <w:rStyle w:val="NormalTok"/>
        </w:rPr>
        <w:t xml:space="preserve"> loglik1) </w:t>
      </w:r>
      <w:r>
        <w:rPr>
          <w:rStyle w:val="SpecialCharTok"/>
        </w:rPr>
        <w:t xml:space="preserve">+</w:t>
      </w:r>
      <w:r>
        <w:br/>
      </w:r>
      <w:r>
        <w:rPr>
          <w:rStyle w:val="NormalTok"/>
        </w:rPr>
        <w:t xml:space="preserve">  </w:t>
      </w:r>
      <w:r>
        <w:rPr>
          <w:rStyle w:val="FunctionTok"/>
        </w:rPr>
        <w:t xml:space="preserve">xlim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xlab</w:t>
      </w:r>
      <w:r>
        <w:rPr>
          <w:rStyle w:val="NormalTok"/>
        </w:rPr>
        <w:t xml:space="preserve">(</w:t>
      </w:r>
      <w:r>
        <w:rPr>
          <w:rStyle w:val="StringTok"/>
        </w:rPr>
        <w:t xml:space="preserve">"lambda"</w:t>
      </w:r>
      <w:r>
        <w:rPr>
          <w:rStyle w:val="NormalTok"/>
        </w:rPr>
        <w:t xml:space="preserve">) </w:t>
      </w:r>
      <w:r>
        <w:rPr>
          <w:rStyle w:val="SpecialCharTok"/>
        </w:rPr>
        <w:t xml:space="preserve">+</w:t>
      </w:r>
      <w:r>
        <w:br/>
      </w:r>
      <w:r>
        <w:rPr>
          <w:rStyle w:val="NormalTok"/>
        </w:rPr>
        <w:t xml:space="preserve">  </w:t>
      </w:r>
      <w:r>
        <w:rPr>
          <w:rStyle w:val="FunctionTok"/>
        </w:rPr>
        <w:t xml:space="preserve">ylab</w:t>
      </w:r>
      <w:r>
        <w:rPr>
          <w:rStyle w:val="NormalTok"/>
        </w:rPr>
        <w:t xml:space="preserve">(</w:t>
      </w:r>
      <w:r>
        <w:rPr>
          <w:rStyle w:val="StringTok"/>
        </w:rPr>
        <w:t xml:space="preserve">"log-likelihood"</w:t>
      </w:r>
      <w:r>
        <w:rPr>
          <w:rStyle w:val="NormalTok"/>
        </w:rPr>
        <w:t xml:space="preserve">)</w:t>
      </w:r>
    </w:p>
    <w:tbl>
      <w:tblPr>
        <w:tblStyle w:val="Table"/>
        <w:tblW w:type="pct" w:w="5000"/>
        <w:tblLayout w:type="fixed"/>
        <w:tblLook w:firstRow="0" w:lastRow="0" w:firstColumn="0" w:lastColumn="0" w:noHBand="0" w:noVBand="0" w:val="0000"/>
      </w:tblPr>
      <w:tblGrid>
        <w:gridCol w:w="7920"/>
      </w:tblGrid>
      <w:tr>
        <w:tc>
          <w:tcPr/>
          <w:bookmarkStart w:id="55" w:name="fig-ex-lik-curves"/>
          <w:p>
            <w:pPr>
              <w:pStyle w:val="Compact"/>
              <w:jc w:val="center"/>
            </w:pPr>
            <w:r>
              <w:drawing>
                <wp:inline>
                  <wp:extent cx="4620126" cy="3696101"/>
                  <wp:effectExtent b="0" l="0" r="0" t="0"/>
                  <wp:docPr descr="" title="" id="53" name="Picture"/>
                  <a:graphic>
                    <a:graphicData uri="http://schemas.openxmlformats.org/drawingml/2006/picture">
                      <pic:pic>
                        <pic:nvPicPr>
                          <pic:cNvPr descr="methodology_files/figure-docx/fig-ex-lik-curves-1.png" id="54" name="Picture"/>
                          <pic:cNvPicPr>
                            <a:picLocks noChangeArrowheads="1" noChangeAspect="1"/>
                          </pic:cNvPicPr>
                        </pic:nvPicPr>
                        <pic:blipFill>
                          <a:blip r:embed="rId52"/>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log-likelihood curve for latent data</w:t>
            </w:r>
          </w:p>
          <w:bookmarkEnd w:id="55"/>
        </w:tc>
      </w:tr>
    </w:tbl>
    <w:bookmarkEnd w:id="56"/>
    <w:bookmarkStart w:id="57" w:name="standard-errors"/>
    <w:p>
      <w:pPr>
        <w:pStyle w:val="Heading2"/>
      </w:pPr>
      <w:r>
        <w:t xml:space="preserve">4.8 Standard errors</w:t>
      </w:r>
    </w:p>
    <w:p>
      <w:pPr>
        <w:pStyle w:val="FirstParagraph"/>
      </w:pPr>
      <w:r>
        <w:t xml:space="preserve">The</w:t>
      </w:r>
      <w:r>
        <w:t xml:space="preserve"> </w:t>
      </w:r>
      <w:r>
        <w:rPr>
          <w:b/>
          <w:bCs/>
        </w:rPr>
        <w:t xml:space="preserve">variance</w:t>
      </w:r>
      <w:r>
        <w:t xml:space="preserve"> </w:t>
      </w:r>
      <w:r>
        <w:t xml:space="preserve">of the estimate is approximately equal to</w:t>
      </w:r>
      <w:r>
        <w:t xml:space="preserve"> </w:t>
      </w:r>
      <w:r>
        <w:t xml:space="preserve">the inverse of the</w:t>
      </w:r>
      <w:r>
        <w:t xml:space="preserve"> </w:t>
      </w:r>
      <w:r>
        <w:rPr>
          <w:i/>
          <w:iCs/>
        </w:rPr>
        <w:t xml:space="preserve">negative</w:t>
      </w:r>
      <w:r>
        <w:t xml:space="preserve"> </w:t>
      </w:r>
      <w:r>
        <w:t xml:space="preserve">curvature</w:t>
      </w:r>
      <w:r>
        <w:t xml:space="preserve"> </w:t>
      </w:r>
      <w:r>
        <w:t xml:space="preserve">(2nd derivative, aka Hessian)</w:t>
      </w:r>
      <w:r>
        <w:t xml:space="preserve"> </w:t>
      </w:r>
      <w:r>
        <w:t xml:space="preserve">of the log-likelihood function, at the maximum,</w:t>
      </w:r>
      <w:r>
        <w:t xml:space="preserve"> </w:t>
      </w:r>
      <w:r>
        <w:t xml:space="preserve">and the standard error is the square root of that variance:</w:t>
      </w:r>
    </w:p>
    <w:p>
      <w:pPr>
        <w:pStyle w:val="BodyText"/>
      </w:pPr>
      <w:r>
        <w:t xml:space="preserve">more curvature</w:t>
      </w:r>
      <w:r>
        <w:t xml:space="preserve"> </w:t>
      </w:r>
      <m:oMath>
        <m:r>
          <m:rPr>
            <m:sty m:val="p"/>
          </m:rPr>
          <m:t>→</m:t>
        </m:r>
      </m:oMath>
      <w:r>
        <w:t xml:space="preserve"> </w:t>
      </w:r>
      <w:r>
        <w:t xml:space="preserve">a sharper likelihood peak</w:t>
      </w:r>
      <w:r>
        <w:t xml:space="preserve"> </w:t>
      </w:r>
      <m:oMath>
        <m:r>
          <m:rPr>
            <m:sty m:val="p"/>
          </m:rPr>
          <m:t>→</m:t>
        </m:r>
      </m:oMath>
      <w:r>
        <w:t xml:space="preserve"> </w:t>
      </w:r>
      <w:r>
        <w:t xml:space="preserve">smaller standard errors</w:t>
      </w:r>
    </w:p>
    <w:bookmarkEnd w:id="57"/>
    <w:bookmarkStart w:id="58" w:name="hessian-for-the-exponential-model"/>
    <w:p>
      <w:pPr>
        <w:pStyle w:val="Heading2"/>
      </w:pPr>
      <w:r>
        <w:t xml:space="preserve">4.9 Hessian for the exponential model</w:t>
      </w:r>
    </w:p>
    <w:p>
      <w:pPr>
        <w:pStyle w:val="FirstParagraph"/>
      </w:pPr>
      <w:r>
        <w:t xml:space="preserve">For the latent-time exponential model, the log-likelihood is</w:t>
      </w:r>
    </w:p>
    <w:p>
      <w:pPr>
        <w:pStyle w:val="BodyText"/>
      </w:pPr>
      <m:oMathPara>
        <m:oMathParaPr>
          <m:jc m:val="center"/>
        </m:oMathParaPr>
        <m:oMath>
          <m:sSup>
            <m:e>
              <m:r>
                <m:t>ℓ</m:t>
              </m:r>
            </m:e>
            <m:sup>
              <m:r>
                <m:rPr>
                  <m:sty m:val="p"/>
                </m:rPr>
                <m:t>*</m:t>
              </m:r>
            </m:sup>
          </m:sSup>
          <m:r>
            <m:rPr>
              <m:sty m:val="p"/>
            </m:rPr>
            <m:t>(</m:t>
          </m:r>
          <m:r>
            <m:t>λ</m:t>
          </m:r>
          <m:r>
            <m:rPr>
              <m:sty m:val="p"/>
            </m:rPr>
            <m:t>)</m:t>
          </m:r>
          <m:r>
            <m:rPr>
              <m:sty m:val="p"/>
            </m:rPr>
            <m:t>=</m:t>
          </m:r>
          <m:r>
            <m:t>n</m:t>
          </m:r>
          <m:r>
            <m:rPr>
              <m:sty m:val="p"/>
            </m:rPr>
            <m:t>log</m:t>
          </m:r>
          <m:r>
            <m:t>​</m:t>
          </m:r>
          <m:d>
            <m:dPr>
              <m:begChr m:val="{"/>
              <m:sepChr m:val=""/>
              <m:endChr m:val="}"/>
              <m:grow/>
            </m:dPr>
            <m:e>
              <m:r>
                <m:t>λ</m:t>
              </m:r>
            </m:e>
          </m:d>
          <m:r>
            <m:t>​</m:t>
          </m:r>
          <m:r>
            <m:rPr>
              <m:sty m:val="p"/>
            </m:rPr>
            <m:t>−</m:t>
          </m:r>
          <m:r>
            <m:t>λ</m:t>
          </m:r>
          <m:nary>
            <m:naryPr>
              <m:chr m:val="∑"/>
              <m:limLoc m:val="undOvr"/>
              <m:subHide m:val="off"/>
              <m:supHide m:val="off"/>
            </m:naryPr>
            <m:sub>
              <m:r>
                <m:t>i</m:t>
              </m:r>
              <m:r>
                <m:rPr>
                  <m:sty m:val="p"/>
                </m:rPr>
                <m:t>=</m:t>
              </m:r>
              <m:r>
                <m:t>1</m:t>
              </m:r>
            </m:sub>
            <m:sup>
              <m:r>
                <m:t>n</m:t>
              </m:r>
            </m:sup>
            <m:e>
              <m:sSub>
                <m:e>
                  <m:r>
                    <m:t>t</m:t>
                  </m:r>
                </m:e>
                <m:sub>
                  <m:r>
                    <m:t>i</m:t>
                  </m:r>
                </m:sub>
              </m:sSub>
            </m:e>
          </m:nary>
        </m:oMath>
      </m:oMathPara>
    </w:p>
    <w:p>
      <w:pPr>
        <w:pStyle w:val="FirstParagraph"/>
      </w:pPr>
      <w:r>
        <w:t xml:space="preserve">so the score and the Hessian (here a scalar second derivative) are</w:t>
      </w:r>
    </w:p>
    <w:p>
      <w:pPr>
        <w:pStyle w:val="BodyText"/>
      </w:pPr>
      <m:oMathPara>
        <m:oMathParaPr>
          <m:jc m:val="center"/>
        </m:oMathParaPr>
        <m:oMath>
          <m:sSup>
            <m:e>
              <m:r>
                <m:t>ℓ</m:t>
              </m:r>
            </m:e>
            <m:sup>
              <m:r>
                <m:rPr>
                  <m:sty m:val="p"/>
                </m:rPr>
                <m:t>*</m:t>
              </m:r>
              <m:r>
                <m:rPr>
                  <m:sty m:val="p"/>
                </m:rPr>
                <m:t>′</m:t>
              </m:r>
            </m:sup>
          </m:sSup>
          <m:r>
            <m:rPr>
              <m:sty m:val="p"/>
            </m:rPr>
            <m:t>(</m:t>
          </m:r>
          <m:r>
            <m:t>λ</m:t>
          </m:r>
          <m:r>
            <m:rPr>
              <m:sty m:val="p"/>
            </m:rPr>
            <m:t>)</m:t>
          </m:r>
          <m:r>
            <m:rPr>
              <m:sty m:val="p"/>
            </m:rPr>
            <m:t>=</m:t>
          </m:r>
          <m:f>
            <m:fPr>
              <m:type m:val="bar"/>
            </m:fPr>
            <m:num>
              <m:r>
                <m:t>n</m:t>
              </m:r>
            </m:num>
            <m:den>
              <m:r>
                <m:t>λ</m:t>
              </m:r>
            </m:den>
          </m:f>
          <m:r>
            <m:rPr>
              <m:sty m:val="p"/>
            </m:rPr>
            <m:t>−</m:t>
          </m:r>
          <m:nary>
            <m:naryPr>
              <m:chr m:val="∑"/>
              <m:limLoc m:val="undOvr"/>
              <m:subHide m:val="off"/>
              <m:supHide m:val="off"/>
            </m:naryPr>
            <m:sub>
              <m:r>
                <m:t>i</m:t>
              </m:r>
              <m:r>
                <m:rPr>
                  <m:sty m:val="p"/>
                </m:rPr>
                <m:t>=</m:t>
              </m:r>
              <m:r>
                <m:t>1</m:t>
              </m:r>
            </m:sub>
            <m:sup>
              <m:r>
                <m:t>n</m:t>
              </m:r>
            </m:sup>
            <m:e>
              <m:sSub>
                <m:e>
                  <m:r>
                    <m:t>t</m:t>
                  </m:r>
                </m:e>
                <m:sub>
                  <m:r>
                    <m:t>i</m:t>
                  </m:r>
                </m:sub>
              </m:sSub>
            </m:e>
          </m:nary>
          <m:r>
            <m:rPr>
              <m:sty m:val="p"/>
            </m:rPr>
            <m:t>,</m:t>
          </m:r>
          <m:r>
            <m:t>  </m:t>
          </m:r>
          <m:sSup>
            <m:e>
              <m:r>
                <m:t>ℓ</m:t>
              </m:r>
            </m:e>
            <m:sup>
              <m:r>
                <m:rPr>
                  <m:sty m:val="p"/>
                </m:rPr>
                <m:t>*</m:t>
              </m:r>
              <m:r>
                <m:rPr>
                  <m:sty m:val="p"/>
                </m:rPr>
                <m:t>′</m:t>
              </m:r>
              <m:r>
                <m:rPr>
                  <m:sty m:val="p"/>
                </m:rPr>
                <m:t>′</m:t>
              </m:r>
            </m:sup>
          </m:sSup>
          <m:r>
            <m:rPr>
              <m:sty m:val="p"/>
            </m:rPr>
            <m:t>(</m:t>
          </m:r>
          <m:r>
            <m:t>λ</m:t>
          </m:r>
          <m:r>
            <m:rPr>
              <m:sty m:val="p"/>
            </m:rPr>
            <m:t>)</m:t>
          </m:r>
          <m:r>
            <m:rPr>
              <m:sty m:val="p"/>
            </m:rPr>
            <m:t>=</m:t>
          </m:r>
          <m:r>
            <m:rPr>
              <m:sty m:val="p"/>
            </m:rPr>
            <m:t>−</m:t>
          </m:r>
          <m:f>
            <m:fPr>
              <m:type m:val="bar"/>
            </m:fPr>
            <m:num>
              <m:r>
                <m:t>n</m:t>
              </m:r>
            </m:num>
            <m:den>
              <m:sSup>
                <m:e>
                  <m:r>
                    <m:t>λ</m:t>
                  </m:r>
                </m:e>
                <m:sup>
                  <m:r>
                    <m:t>2</m:t>
                  </m:r>
                </m:sup>
              </m:sSup>
            </m:den>
          </m:f>
        </m:oMath>
      </m:oMathPara>
    </w:p>
    <w:p>
      <w:pPr>
        <w:pStyle w:val="FirstParagraph"/>
      </w:pPr>
      <w:r>
        <w:t xml:space="preserve">The observed information is</w:t>
      </w:r>
      <w:r>
        <w:t xml:space="preserve"> </w:t>
      </w:r>
      <m:oMath>
        <m:r>
          <m:rPr>
            <m:scr m:val="script"/>
            <m:sty m:val="p"/>
          </m:rPr>
          <m:t>I</m:t>
        </m:r>
        <m:r>
          <m:rPr>
            <m:sty m:val="p"/>
          </m:rPr>
          <m:t>(</m:t>
        </m:r>
        <m:r>
          <m:t>λ</m:t>
        </m:r>
        <m:r>
          <m:rPr>
            <m:sty m:val="p"/>
          </m:rPr>
          <m:t>)</m:t>
        </m:r>
        <m:r>
          <m:rPr>
            <m:sty m:val="p"/>
          </m:rPr>
          <m:t>=</m:t>
        </m:r>
        <m:r>
          <m:rPr>
            <m:sty m:val="p"/>
          </m:rPr>
          <m:t>−</m:t>
        </m:r>
        <m:sSup>
          <m:e>
            <m:r>
              <m:t>ℓ</m:t>
            </m:r>
          </m:e>
          <m:sup>
            <m:r>
              <m:rPr>
                <m:sty m:val="p"/>
              </m:rPr>
              <m:t>*</m:t>
            </m:r>
            <m:r>
              <m:rPr>
                <m:sty m:val="p"/>
              </m:rPr>
              <m:t>′</m:t>
            </m:r>
            <m:r>
              <m:rPr>
                <m:sty m:val="p"/>
              </m:rPr>
              <m:t>′</m:t>
            </m:r>
          </m:sup>
        </m:sSup>
        <m:r>
          <m:rPr>
            <m:sty m:val="p"/>
          </m:rPr>
          <m:t>(</m:t>
        </m:r>
        <m:r>
          <m:t>λ</m:t>
        </m:r>
        <m:r>
          <m:rPr>
            <m:sty m:val="p"/>
          </m:rPr>
          <m:t>)</m:t>
        </m:r>
        <m:r>
          <m:rPr>
            <m:sty m:val="p"/>
          </m:rPr>
          <m:t>=</m:t>
        </m:r>
        <m:r>
          <m:t>n</m:t>
        </m:r>
        <m:r>
          <m:rPr>
            <m:sty m:val="p"/>
          </m:rPr>
          <m:t>/</m:t>
        </m:r>
        <m:sSup>
          <m:e>
            <m:r>
              <m:t>λ</m:t>
            </m:r>
          </m:e>
          <m:sup>
            <m:r>
              <m:t>2</m:t>
            </m:r>
          </m:sup>
        </m:sSup>
      </m:oMath>
      <w:r>
        <w:t xml:space="preserve">.</w:t>
      </w:r>
    </w:p>
    <w:p>
      <w:pPr>
        <w:pStyle w:val="BodyText"/>
      </w:pPr>
      <w:r>
        <w:t xml:space="preserve">Evaluated at the MLE</w:t>
      </w:r>
      <w:r>
        <w:t xml:space="preserve"> </w:t>
      </w:r>
      <m:oMath>
        <m:acc>
          <m:accPr>
            <m:chr m:val="̂"/>
          </m:accPr>
          <m:e>
            <m:r>
              <m:t>λ</m:t>
            </m:r>
          </m:e>
        </m:acc>
        <m:r>
          <m:rPr>
            <m:sty m:val="p"/>
          </m:rPr>
          <m:t>=</m:t>
        </m:r>
        <m:r>
          <m:t>1</m:t>
        </m:r>
        <m:r>
          <m:rPr>
            <m:sty m:val="p"/>
          </m:rPr>
          <m:t>/</m:t>
        </m:r>
        <m:acc>
          <m:accPr>
            <m:chr m:val="‾"/>
          </m:accPr>
          <m:e>
            <m:r>
              <m:t>t</m:t>
            </m:r>
          </m:e>
        </m:acc>
      </m:oMath>
      <w:r>
        <w:t xml:space="preserve">, the variance and standard</w:t>
      </w:r>
      <w:r>
        <w:t xml:space="preserve"> </w:t>
      </w:r>
      <w:r>
        <w:t xml:space="preserve">error are</w:t>
      </w:r>
    </w:p>
    <w:p>
      <w:pPr>
        <w:pStyle w:val="BodyText"/>
      </w:pPr>
      <m:oMathPara>
        <m:oMathParaPr>
          <m:jc m:val="center"/>
        </m:oMathParaPr>
        <m:oMath>
          <m:acc>
            <m:accPr>
              <m:chr m:val="̂"/>
            </m:accPr>
            <m:e>
              <m:r>
                <m:rPr>
                  <m:sty m:val="p"/>
                </m:rPr>
                <m:t>Var</m:t>
              </m:r>
            </m:e>
          </m:acc>
          <m:r>
            <m:rPr>
              <m:sty m:val="p"/>
            </m:rPr>
            <m:t>(</m:t>
          </m:r>
          <m:acc>
            <m:accPr>
              <m:chr m:val="̂"/>
            </m:accPr>
            <m:e>
              <m:r>
                <m:t>λ</m:t>
              </m:r>
            </m:e>
          </m:acc>
          <m:r>
            <m:rPr>
              <m:sty m:val="p"/>
            </m:rPr>
            <m:t>)</m:t>
          </m:r>
          <m:r>
            <m:rPr>
              <m:sty m:val="p"/>
            </m:rPr>
            <m:t>≈</m:t>
          </m:r>
          <m:sSup>
            <m:e>
              <m:d>
                <m:dPr>
                  <m:begChr m:val="["/>
                  <m:sepChr m:val=""/>
                  <m:endChr m:val="]"/>
                  <m:grow/>
                </m:dPr>
                <m:e>
                  <m:r>
                    <m:rPr>
                      <m:sty m:val="p"/>
                    </m:rPr>
                    <m:t>−</m:t>
                  </m:r>
                  <m:sSup>
                    <m:e>
                      <m:r>
                        <m:t>ℓ</m:t>
                      </m:r>
                    </m:e>
                    <m:sup>
                      <m:r>
                        <m:rPr>
                          <m:sty m:val="p"/>
                        </m:rPr>
                        <m:t>*</m:t>
                      </m:r>
                      <m:r>
                        <m:rPr>
                          <m:sty m:val="p"/>
                        </m:rPr>
                        <m:t>′</m:t>
                      </m:r>
                      <m:r>
                        <m:rPr>
                          <m:sty m:val="p"/>
                        </m:rPr>
                        <m:t>′</m:t>
                      </m:r>
                    </m:sup>
                  </m:sSup>
                  <m:r>
                    <m:rPr>
                      <m:sty m:val="p"/>
                    </m:rPr>
                    <m:t>(</m:t>
                  </m:r>
                  <m:acc>
                    <m:accPr>
                      <m:chr m:val="̂"/>
                    </m:accPr>
                    <m:e>
                      <m:r>
                        <m:t>λ</m:t>
                      </m:r>
                    </m:e>
                  </m:acc>
                  <m:r>
                    <m:rPr>
                      <m:sty m:val="p"/>
                    </m:rPr>
                    <m:t>)</m:t>
                  </m:r>
                </m:e>
              </m:d>
            </m:e>
            <m:sup>
              <m:r>
                <m:rPr>
                  <m:sty m:val="p"/>
                </m:rPr>
                <m:t>−</m:t>
              </m:r>
              <m:r>
                <m:t>1</m:t>
              </m:r>
            </m:sup>
          </m:sSup>
          <m:r>
            <m:rPr>
              <m:sty m:val="p"/>
            </m:rPr>
            <m:t>=</m:t>
          </m:r>
          <m:f>
            <m:fPr>
              <m:type m:val="bar"/>
            </m:fPr>
            <m:num>
              <m:sSup>
                <m:e>
                  <m:acc>
                    <m:accPr>
                      <m:chr m:val="̂"/>
                    </m:accPr>
                    <m:e>
                      <m:r>
                        <m:t>λ</m:t>
                      </m:r>
                    </m:e>
                  </m:acc>
                </m:e>
                <m:sup>
                  <m:r>
                    <m:t>2</m:t>
                  </m:r>
                </m:sup>
              </m:sSup>
            </m:num>
            <m:den>
              <m:r>
                <m:t>n</m:t>
              </m:r>
            </m:den>
          </m:f>
          <m:r>
            <m:rPr>
              <m:sty m:val="p"/>
            </m:rPr>
            <m:t>,</m:t>
          </m:r>
          <m:r>
            <m:t>  </m:t>
          </m:r>
          <m:r>
            <m:rPr>
              <m:sty m:val="p"/>
            </m:rPr>
            <m:t>SE</m:t>
          </m:r>
          <m:r>
            <m:rPr>
              <m:sty m:val="p"/>
            </m:rPr>
            <m:t>(</m:t>
          </m:r>
          <m:acc>
            <m:accPr>
              <m:chr m:val="̂"/>
            </m:accPr>
            <m:e>
              <m:r>
                <m:t>λ</m:t>
              </m:r>
            </m:e>
          </m:acc>
          <m:r>
            <m:rPr>
              <m:sty m:val="p"/>
            </m:rPr>
            <m:t>)</m:t>
          </m:r>
          <m:r>
            <m:rPr>
              <m:sty m:val="p"/>
            </m:rPr>
            <m:t>≈</m:t>
          </m:r>
          <m:f>
            <m:fPr>
              <m:type m:val="bar"/>
            </m:fPr>
            <m:num>
              <m:acc>
                <m:accPr>
                  <m:chr m:val="̂"/>
                </m:accPr>
                <m:e>
                  <m:r>
                    <m:t>λ</m:t>
                  </m:r>
                </m:e>
              </m:acc>
            </m:num>
            <m:den>
              <m:rad>
                <m:radPr>
                  <m:degHide m:val="on"/>
                </m:radPr>
                <m:deg/>
                <m:e>
                  <m:r>
                    <m:t>n</m:t>
                  </m:r>
                </m:e>
              </m:rad>
            </m:den>
          </m:f>
        </m:oMath>
      </m:oMathPara>
    </w:p>
    <w:p>
      <w:pPr>
        <w:pStyle w:val="FirstParagraph"/>
      </w:pPr>
      <w:r>
        <w:t xml:space="preserve">So more curvature (larger</w:t>
      </w:r>
      <w:r>
        <w:t xml:space="preserve"> </w:t>
      </w:r>
      <m:oMath>
        <m:r>
          <m:t>n</m:t>
        </m:r>
        <m:r>
          <m:rPr>
            <m:sty m:val="p"/>
          </m:rPr>
          <m:t>/</m:t>
        </m:r>
        <m:sSup>
          <m:e>
            <m:r>
              <m:t>λ</m:t>
            </m:r>
          </m:e>
          <m:sup>
            <m:r>
              <m:t>2</m:t>
            </m:r>
          </m:sup>
        </m:sSup>
      </m:oMath>
      <w:r>
        <w:t xml:space="preserve">) means a sharper peak and a smaller</w:t>
      </w:r>
      <w:r>
        <w:t xml:space="preserve"> </w:t>
      </w:r>
      <w:r>
        <w:t xml:space="preserve">standard error, consistent with the previous slide.</w:t>
      </w:r>
    </w:p>
    <w:bookmarkEnd w:id="58"/>
    <w:bookmarkStart w:id="59" w:name="likelihood-of-observed-data"/>
    <w:p>
      <w:pPr>
        <w:pStyle w:val="Heading2"/>
      </w:pPr>
      <w:r>
        <w:t xml:space="preserve">4.10 Likelihood of observed data</w:t>
      </w:r>
    </w:p>
    <w:p>
      <w:pPr>
        <w:pStyle w:val="FirstParagraph"/>
      </w:pPr>
      <w:r>
        <w:t xml:space="preserve">Unfortunately, we don’t observe infection times</w:t>
      </w:r>
      <w:r>
        <w:t xml:space="preserve"> </w:t>
      </w:r>
      <m:oMath>
        <m:r>
          <m:t>T</m:t>
        </m:r>
      </m:oMath>
      <w:r>
        <w:t xml:space="preserve">;</w:t>
      </w:r>
      <w:r>
        <w:t xml:space="preserve"> </w:t>
      </w:r>
      <w:r>
        <w:t xml:space="preserve">we only observe antibody levels</w:t>
      </w:r>
      <w:r>
        <w:t xml:space="preserve"> </w:t>
      </w:r>
      <m:oMath>
        <m:r>
          <m:t>Y</m:t>
        </m:r>
      </m:oMath>
      <w:r>
        <w:t xml:space="preserve">.</w:t>
      </w:r>
      <w:r>
        <w:t xml:space="preserve"> </w:t>
      </w:r>
      <w:r>
        <w:t xml:space="preserve">So things get a little more complicated.</w:t>
      </w:r>
    </w:p>
    <w:p>
      <w:pPr>
        <w:pStyle w:val="BodyText"/>
      </w:pPr>
      <w:r>
        <w:t xml:space="preserve">In short, we are hoping that we can estimate</w:t>
      </w:r>
      <w:r>
        <w:t xml:space="preserve"> </w:t>
      </w:r>
      <m:oMath>
        <m:r>
          <m:t>T</m:t>
        </m:r>
      </m:oMath>
      <w:r>
        <w:t xml:space="preserve"> </w:t>
      </w:r>
      <w:r>
        <w:t xml:space="preserve">(time since last infection)</w:t>
      </w:r>
      <w:r>
        <w:t xml:space="preserve"> </w:t>
      </w:r>
      <w:r>
        <w:t xml:space="preserve">from</w:t>
      </w:r>
      <w:r>
        <w:t xml:space="preserve"> </w:t>
      </w:r>
      <m:oMath>
        <m:r>
          <m:t>Y</m:t>
        </m:r>
      </m:oMath>
      <w:r>
        <w:t xml:space="preserve"> </w:t>
      </w:r>
      <w:r>
        <w:t xml:space="preserve">(current antibody levels).</w:t>
      </w:r>
      <w:r>
        <w:t xml:space="preserve"> </w:t>
      </w:r>
      <w:r>
        <w:t xml:space="preserve">If we could do that,</w:t>
      </w:r>
      <w:r>
        <w:t xml:space="preserve"> </w:t>
      </w:r>
      <w:r>
        <w:t xml:space="preserve">then we could plug in our estimates</w:t>
      </w:r>
      <w:r>
        <w:t xml:space="preserve"> </w:t>
      </w:r>
      <m:oMath>
        <m:sSub>
          <m:e>
            <m:acc>
              <m:accPr>
                <m:chr m:val="̂"/>
              </m:accPr>
              <m:e>
                <m:r>
                  <m:t>t</m:t>
                </m:r>
              </m:e>
            </m:acc>
          </m:e>
          <m:sub>
            <m:r>
              <m:t>i</m:t>
            </m:r>
          </m:sub>
        </m:sSub>
      </m:oMath>
      <w:r>
        <w:t xml:space="preserve"> </w:t>
      </w:r>
      <w:r>
        <w:t xml:space="preserve">into that likelihood above,</w:t>
      </w:r>
      <w:r>
        <w:t xml:space="preserve"> </w:t>
      </w:r>
      <w:r>
        <w:t xml:space="preserve">and estimate</w:t>
      </w:r>
      <w:r>
        <w:t xml:space="preserve"> </w:t>
      </w:r>
      <m:oMath>
        <m:r>
          <m:t>λ</m:t>
        </m:r>
      </m:oMath>
      <w:r>
        <w:t xml:space="preserve"> </w:t>
      </w:r>
      <w:r>
        <w:t xml:space="preserve">as previously.</w:t>
      </w:r>
    </w:p>
    <w:p>
      <w:pPr>
        <w:pStyle w:val="BodyText"/>
      </w:pPr>
      <w:r>
        <w:t xml:space="preserve">We’re actually going to do something a little more nuanced;</w:t>
      </w:r>
      <w:r>
        <w:t xml:space="preserve"> </w:t>
      </w:r>
      <w:r>
        <w:t xml:space="preserve">instead of just using one value for</w:t>
      </w:r>
      <w:r>
        <w:t xml:space="preserve"> </w:t>
      </w:r>
      <m:oMath>
        <m:acc>
          <m:accPr>
            <m:chr m:val="̂"/>
          </m:accPr>
          <m:e>
            <m:r>
              <m:t>t</m:t>
            </m:r>
          </m:e>
        </m:acc>
      </m:oMath>
      <w:r>
        <w:t xml:space="preserve">,</w:t>
      </w:r>
      <w:r>
        <w:t xml:space="preserve"> </w:t>
      </w:r>
      <w:r>
        <w:t xml:space="preserve">we are going to consider all possible values of</w:t>
      </w:r>
      <w:r>
        <w:t xml:space="preserve"> </w:t>
      </w:r>
      <m:oMath>
        <m:r>
          <m:t>t</m:t>
        </m:r>
      </m:oMath>
      <w:r>
        <w:t xml:space="preserve"> </w:t>
      </w:r>
      <w:r>
        <w:t xml:space="preserve">for each individual.</w:t>
      </w:r>
    </w:p>
    <w:p>
      <w:pPr>
        <w:pStyle w:val="BodyText"/>
      </w:pPr>
      <w:r>
        <w:t xml:space="preserve">We need to link the data we actually observed to the incidence rate.</w:t>
      </w:r>
    </w:p>
    <w:p>
      <w:pPr>
        <w:pStyle w:val="BodyText"/>
      </w:pPr>
      <w:r>
        <w:t xml:space="preserve">The likelihood of an individual’s observed data,</w:t>
      </w:r>
      <w:r>
        <w:t xml:space="preserve"> </w:t>
      </w:r>
      <m:oMath>
        <m:r>
          <m:rPr>
            <m:sty m:val="p"/>
          </m:rPr>
          <m:t>p</m:t>
        </m:r>
        <m:r>
          <m:rPr>
            <m:sty m:val="p"/>
          </m:rPr>
          <m:t>(</m:t>
        </m:r>
        <m:r>
          <m:t>Y</m:t>
        </m:r>
        <m:r>
          <m:rPr>
            <m:sty m:val="p"/>
          </m:rPr>
          <m:t>=</m:t>
        </m:r>
        <m:r>
          <m:t>y</m:t>
        </m:r>
        <m:r>
          <m:rPr>
            <m:sty m:val="p"/>
          </m:rPr>
          <m:t>)</m:t>
        </m:r>
      </m:oMath>
      <w:r>
        <w:t xml:space="preserve">,</w:t>
      </w:r>
      <w:r>
        <w:t xml:space="preserve"> </w:t>
      </w:r>
      <w:r>
        <w:t xml:space="preserve">can be expressed as an integral over</w:t>
      </w:r>
      <w:r>
        <w:t xml:space="preserve"> </w:t>
      </w:r>
      <w:r>
        <w:t xml:space="preserve">the joint likelihood of</w:t>
      </w:r>
      <w:r>
        <w:t xml:space="preserve"> </w:t>
      </w:r>
      <m:oMath>
        <m:r>
          <m:t>Y</m:t>
        </m:r>
      </m:oMath>
      <w:r>
        <w:t xml:space="preserve"> </w:t>
      </w:r>
      <w:r>
        <w:t xml:space="preserve">and</w:t>
      </w:r>
      <w:r>
        <w:t xml:space="preserve"> </w:t>
      </w:r>
      <m:oMath>
        <m:r>
          <m:t>T</m:t>
        </m:r>
      </m:oMath>
      <w:r>
        <w:t xml:space="preserve"> </w:t>
      </w:r>
      <w:r>
        <w:t xml:space="preserve">(using the Law of Total Probability):</w:t>
      </w:r>
    </w:p>
    <w:p>
      <w:pPr>
        <w:pStyle w:val="Compac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n"/>
            </m:naryPr>
            <m:sub>
              <m:r>
                <m:t>t</m:t>
              </m:r>
            </m:sub>
            <m:sup>
              <m:r>
                <m:t>​</m:t>
              </m:r>
            </m:sup>
            <m:e>
              <m:r>
                <m:rPr>
                  <m:sty m:val="p"/>
                </m:rPr>
                <m:t>p</m:t>
              </m:r>
            </m:e>
          </m:nary>
          <m:r>
            <m:rPr>
              <m:sty m:val="p"/>
            </m:rPr>
            <m:t>(</m:t>
          </m:r>
          <m:r>
            <m:t>Y</m:t>
          </m:r>
          <m:r>
            <m:rPr>
              <m:sty m:val="p"/>
            </m:rPr>
            <m:t>=</m:t>
          </m:r>
          <m:r>
            <m:t>y</m:t>
          </m:r>
          <m:r>
            <m:rPr>
              <m:sty m:val="p"/>
            </m:rPr>
            <m:t>,</m:t>
          </m:r>
          <m:r>
            <m:t>T</m:t>
          </m:r>
          <m:r>
            <m:rPr>
              <m:sty m:val="p"/>
            </m:rPr>
            <m:t>=</m:t>
          </m:r>
          <m:r>
            <m:t>t</m:t>
          </m:r>
          <m:r>
            <m:rPr>
              <m:sty m:val="p"/>
            </m:rPr>
            <m:t>)</m:t>
          </m:r>
          <m:r>
            <m:t>d</m:t>
          </m:r>
          <m:r>
            <m:t>t</m:t>
          </m:r>
        </m:oMath>
      </m:oMathPara>
    </w:p>
    <w:p>
      <w:pPr>
        <w:pStyle w:val="FirstParagraph"/>
      </w:pPr>
      <w:r>
        <w:t xml:space="preserve">Further, we can express the joint probability</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as the product of</w:t>
      </w:r>
      <w:r>
        <w:t xml:space="preserve"> </w:t>
      </w:r>
      <m:oMath>
        <m:r>
          <m:t>p</m:t>
        </m:r>
        <m:r>
          <m:rPr>
            <m:sty m:val="p"/>
          </m:rPr>
          <m:t>(</m:t>
        </m:r>
        <m:r>
          <m:t>T</m:t>
        </m:r>
        <m:r>
          <m:rPr>
            <m:sty m:val="p"/>
          </m:rPr>
          <m:t>=</m:t>
        </m:r>
        <m:r>
          <m:t>t</m:t>
        </m:r>
        <m:r>
          <m:rPr>
            <m:sty m:val="p"/>
          </m:rPr>
          <m:t>)</m:t>
        </m:r>
      </m:oMath>
      <w:r>
        <w:t xml:space="preserve"> </w:t>
      </w:r>
      <w:r>
        <w:t xml:space="preserve">and</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the</w:t>
      </w:r>
      <w:r>
        <w:t xml:space="preserve"> </w:t>
      </w:r>
      <w:r>
        <w:t xml:space="preserve">“antibody response curve after infection”</w:t>
      </w:r>
      <w:r>
        <w:t xml:space="preserve">.</w:t>
      </w:r>
      <w:r>
        <w:t xml:space="preserve"> </w:t>
      </w:r>
      <w:r>
        <w:t xml:space="preserve">That is:</w:t>
      </w:r>
    </w:p>
    <w:p>
      <w:pPr>
        <w:pStyle w:val="Compact"/>
      </w:pPr>
      <m:oMathPara>
        <m:oMathParaPr>
          <m:jc m:val="center"/>
        </m:oMathParaPr>
        <m:oMath>
          <m:r>
            <m:rPr>
              <m:sty m:val="p"/>
            </m:rPr>
            <m:t>p</m:t>
          </m:r>
          <m:r>
            <m:rPr>
              <m:sty m:val="p"/>
            </m:rPr>
            <m:t>(</m:t>
          </m:r>
          <m:r>
            <m:t>Y</m:t>
          </m:r>
          <m:r>
            <m:rPr>
              <m:sty m:val="p"/>
            </m:rPr>
            <m:t>=</m:t>
          </m:r>
          <m:r>
            <m:t>y</m:t>
          </m:r>
          <m:r>
            <m:rPr>
              <m:sty m:val="p"/>
            </m:rPr>
            <m:t>,</m:t>
          </m:r>
          <m:r>
            <m:t>T</m:t>
          </m:r>
          <m:r>
            <m:rPr>
              <m:sty m:val="p"/>
            </m:rPr>
            <m:t>=</m:t>
          </m:r>
          <m:r>
            <m:t>t</m:t>
          </m:r>
          <m:r>
            <m:rPr>
              <m:sty m:val="p"/>
            </m:rPr>
            <m:t>)</m:t>
          </m:r>
          <m:r>
            <m:rPr>
              <m:sty m:val="p"/>
            </m:rPr>
            <m:t>=</m:t>
          </m:r>
          <m:r>
            <m:rPr>
              <m:sty m:val="p"/>
            </m:rPr>
            <m:t>p</m:t>
          </m:r>
          <m:r>
            <m:rPr>
              <m:sty m:val="p"/>
            </m:rPr>
            <m:t>(</m:t>
          </m:r>
          <m:r>
            <m:t>Y</m:t>
          </m:r>
          <m:r>
            <m:rPr>
              <m:sty m:val="p"/>
            </m:rPr>
            <m:t>=</m:t>
          </m:r>
          <m:r>
            <m:t>y</m:t>
          </m:r>
          <m:r>
            <m:rPr>
              <m:sty m:val="p"/>
            </m:rPr>
            <m:t>|</m:t>
          </m:r>
          <m:r>
            <m:t>T</m:t>
          </m:r>
          <m:r>
            <m:rPr>
              <m:sty m:val="p"/>
            </m:rPr>
            <m:t>=</m:t>
          </m:r>
          <m:r>
            <m:t>t</m:t>
          </m:r>
          <m:r>
            <m:rPr>
              <m:sty m:val="p"/>
            </m:rPr>
            <m:t>)</m:t>
          </m:r>
          <m:r>
            <m:rPr>
              <m:sty m:val="p"/>
            </m:rPr>
            <m:t>p</m:t>
          </m:r>
          <m:r>
            <m:rPr>
              <m:sty m:val="p"/>
            </m:rPr>
            <m:t>(</m:t>
          </m:r>
          <m:r>
            <m:t>T</m:t>
          </m:r>
          <m:r>
            <m:rPr>
              <m:sty m:val="p"/>
            </m:rPr>
            <m:t>=</m:t>
          </m:r>
          <m:r>
            <m:t>t</m:t>
          </m:r>
          <m:r>
            <m:rPr>
              <m:sty m:val="p"/>
            </m:rPr>
            <m:t>)</m:t>
          </m:r>
        </m:oMath>
      </m:oMathPara>
    </w:p>
    <w:bookmarkEnd w:id="59"/>
    <w:bookmarkStart w:id="68" w:name="antibody-response-curves"/>
    <w:p>
      <w:pPr>
        <w:pStyle w:val="Heading2"/>
      </w:pPr>
      <w:r>
        <w:t xml:space="preserve">4.11 Antibody response curves</w:t>
      </w:r>
    </w:p>
    <w:tbl>
      <w:tblPr>
        <w:tblStyle w:val="Table"/>
        <w:tblW w:type="pct" w:w="5000"/>
        <w:tblLayout w:type="fixed"/>
        <w:tblLook w:firstRow="0" w:lastRow="0" w:firstColumn="0" w:lastColumn="0" w:noHBand="0" w:noVBand="0" w:val="0000"/>
      </w:tblPr>
      <w:tblGrid>
        <w:gridCol w:w="7920"/>
      </w:tblGrid>
      <w:tr>
        <w:tc>
          <w:tcPr/>
          <w:bookmarkStart w:id="63" w:name="fig-sim-case-data"/>
          <w:p>
            <w:pPr>
              <w:pStyle w:val="SourceCode"/>
              <w:jc w:val="center"/>
            </w:pPr>
            <w:r>
              <w:rPr>
                <w:rStyle w:val="NormalTok"/>
              </w:rPr>
              <w:t xml:space="preserve">sim_case_data </w:t>
            </w:r>
            <w:r>
              <w:rPr>
                <w:rStyle w:val="SpecialCharTok"/>
              </w:rPr>
              <w:t xml:space="preserve">|&gt;</w:t>
            </w:r>
            <w:r>
              <w:br/>
            </w:r>
            <w:r>
              <w:rPr>
                <w:rStyle w:val="NormalTok"/>
              </w:rPr>
              <w:t xml:space="preserve">  </w:t>
            </w:r>
            <w:r>
              <w:rPr>
                <w:rStyle w:val="FunctionTok"/>
              </w:rPr>
              <w:t xml:space="preserve">autoplot</w:t>
            </w:r>
            <w:r>
              <w:rPr>
                <w:rStyle w:val="NormalTok"/>
              </w:rPr>
              <w:t xml:space="preserve">(</w:t>
            </w:r>
            <w:r>
              <w:rPr>
                <w:rStyle w:val="AttributeTok"/>
              </w:rPr>
              <w:t xml:space="preserve">alpha =</w:t>
            </w:r>
            <w:r>
              <w:rPr>
                <w:rStyle w:val="NormalTok"/>
              </w:rPr>
              <w:t xml:space="preserve"> .</w:t>
            </w:r>
            <w:r>
              <w:rPr>
                <w:rStyle w:val="DecValTok"/>
              </w:rPr>
              <w:t xml:space="preserve">5</w:t>
            </w:r>
            <w:r>
              <w:rPr>
                <w:rStyle w:val="NormalTok"/>
              </w:rPr>
              <w:t xml:space="preserve">)</w:t>
            </w:r>
          </w:p>
          <w:p>
            <w:pPr>
              <w:jc w:val="center"/>
            </w:pPr>
            <w:r>
              <w:drawing>
                <wp:inline>
                  <wp:extent cx="4620126" cy="3696101"/>
                  <wp:effectExtent b="0" l="0" r="0" t="0"/>
                  <wp:docPr descr="" title="" id="61" name="Picture"/>
                  <a:graphic>
                    <a:graphicData uri="http://schemas.openxmlformats.org/drawingml/2006/picture">
                      <pic:pic>
                        <pic:nvPicPr>
                          <pic:cNvPr descr="methodology_files/figure-docx/unnamed-chunk-4-1.png" id="62" name="Picture"/>
                          <pic:cNvPicPr>
                            <a:picLocks noChangeArrowheads="1" noChangeAspect="1"/>
                          </pic:cNvPicPr>
                        </pic:nvPicPr>
                        <pic:blipFill>
                          <a:blip r:embed="rId60"/>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2: Antibody response curves,</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for typhoid</w:t>
            </w:r>
          </w:p>
          <w:bookmarkEnd w:id="63"/>
        </w:tc>
      </w:tr>
    </w:tbl>
    <w:p/>
    <w:tbl>
      <w:tblPr>
        <w:tblStyle w:val="Table"/>
        <w:tblW w:type="pct" w:w="5000"/>
        <w:tblLayout w:type="fixed"/>
        <w:tblLook w:firstRow="0" w:lastRow="0" w:firstColumn="0" w:lastColumn="0" w:noHBand="0" w:noVBand="0" w:val="0000"/>
      </w:tblPr>
      <w:tblGrid>
        <w:gridCol w:w="7920"/>
      </w:tblGrid>
      <w:tr>
        <w:tc>
          <w:tcPr/>
          <w:bookmarkStart w:id="67" w:name="fig-decay"/>
          <w:p>
            <w:pPr>
              <w:pStyle w:val="SourceCode"/>
              <w:jc w:val="center"/>
            </w:pPr>
            <w:r>
              <w:rPr>
                <w:rStyle w:val="NormalTok"/>
              </w:rPr>
              <w:t xml:space="preserve">case_data </w:t>
            </w:r>
            <w:r>
              <w:rPr>
                <w:rStyle w:val="OtherTok"/>
              </w:rPr>
              <w:t xml:space="preserve">&lt;-</w:t>
            </w:r>
            <w:r>
              <w:br/>
            </w:r>
            <w:r>
              <w:rPr>
                <w:rStyle w:val="NormalTok"/>
              </w:rPr>
              <w:t xml:space="preserve">    </w:t>
            </w:r>
            <w:r>
              <w:rPr>
                <w:rStyle w:val="FunctionTok"/>
              </w:rPr>
              <w:t xml:space="preserve">serodynamics_example</w:t>
            </w:r>
            <w:r>
              <w:rPr>
                <w:rStyle w:val="NormalTok"/>
              </w:rPr>
              <w:t xml:space="preserve">(</w:t>
            </w:r>
            <w:r>
              <w:br/>
            </w:r>
            <w:r>
              <w:rPr>
                <w:rStyle w:val="NormalTok"/>
              </w:rPr>
              <w:t xml:space="preserve">      </w:t>
            </w:r>
            <w:r>
              <w:rPr>
                <w:rStyle w:val="StringTok"/>
              </w:rPr>
              <w:t xml:space="preserve">"SEES_Case_Nepal_ForSeroKinetics_02-13-2025.csv"</w:t>
            </w:r>
            <w:r>
              <w:br/>
            </w:r>
            <w:r>
              <w:rPr>
                <w:rStyle w:val="NormalTok"/>
              </w:rPr>
              <w:t xml:space="preserve">    ) </w:t>
            </w:r>
            <w:r>
              <w:rPr>
                <w:rStyle w:val="SpecialCharTok"/>
              </w:rPr>
              <w:t xml:space="preserve">|&gt;</w:t>
            </w:r>
            <w:r>
              <w:br/>
            </w:r>
            <w:r>
              <w:rPr>
                <w:rStyle w:val="NormalTok"/>
              </w:rPr>
              <w:t xml:space="preserve">    readr</w:t>
            </w:r>
            <w:r>
              <w:rPr>
                <w:rStyle w:val="SpecialCharTok"/>
              </w:rPr>
              <w:t xml:space="preserve">::</w:t>
            </w:r>
            <w:r>
              <w:rPr>
                <w:rStyle w:val="FunctionTok"/>
              </w:rPr>
              <w:t xml:space="preserve">read_csv</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mutate</w:t>
            </w:r>
            <w:r>
              <w:rPr>
                <w:rStyle w:val="NormalTok"/>
              </w:rPr>
              <w:t xml:space="preserve">(</w:t>
            </w:r>
            <w:r>
              <w:br/>
            </w:r>
            <w:r>
              <w:rPr>
                <w:rStyle w:val="NormalTok"/>
              </w:rPr>
              <w:t xml:space="preserve">      </w:t>
            </w:r>
            <w:r>
              <w:rPr>
                <w:rStyle w:val="AttributeTok"/>
              </w:rPr>
              <w:t xml:space="preserve">.by =</w:t>
            </w:r>
            <w:r>
              <w:rPr>
                <w:rStyle w:val="NormalTok"/>
              </w:rPr>
              <w:t xml:space="preserve"> person_id,</w:t>
            </w:r>
            <w:r>
              <w:br/>
            </w:r>
            <w:r>
              <w:rPr>
                <w:rStyle w:val="NormalTok"/>
              </w:rPr>
              <w:t xml:space="preserve">      </w:t>
            </w:r>
            <w:r>
              <w:rPr>
                <w:rStyle w:val="AttributeTok"/>
              </w:rPr>
              <w:t xml:space="preserve">visit_num =</w:t>
            </w:r>
            <w:r>
              <w:rPr>
                <w:rStyle w:val="NormalTok"/>
              </w:rPr>
              <w:t xml:space="preserve"> dplyr</w:t>
            </w:r>
            <w:r>
              <w:rPr>
                <w:rStyle w:val="SpecialCharTok"/>
              </w:rPr>
              <w:t xml:space="preserve">::</w:t>
            </w:r>
            <w:r>
              <w:rPr>
                <w:rStyle w:val="FunctionTok"/>
              </w:rPr>
              <w:t xml:space="preserve">row_number</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as_case_data</w:t>
            </w:r>
            <w:r>
              <w:rPr>
                <w:rStyle w:val="NormalTok"/>
              </w:rPr>
              <w:t xml:space="preserve">(</w:t>
            </w:r>
            <w:r>
              <w:br/>
            </w:r>
            <w:r>
              <w:rPr>
                <w:rStyle w:val="NormalTok"/>
              </w:rPr>
              <w:t xml:space="preserve">      </w:t>
            </w:r>
            <w:r>
              <w:rPr>
                <w:rStyle w:val="AttributeTok"/>
              </w:rPr>
              <w:t xml:space="preserve">id_var =</w:t>
            </w:r>
            <w:r>
              <w:rPr>
                <w:rStyle w:val="NormalTok"/>
              </w:rPr>
              <w:t xml:space="preserve"> </w:t>
            </w:r>
            <w:r>
              <w:rPr>
                <w:rStyle w:val="StringTok"/>
              </w:rPr>
              <w:t xml:space="preserve">"person_id"</w:t>
            </w:r>
            <w:r>
              <w:rPr>
                <w:rStyle w:val="NormalTok"/>
              </w:rPr>
              <w:t xml:space="preserve">,</w:t>
            </w:r>
            <w:r>
              <w:br/>
            </w:r>
            <w:r>
              <w:rPr>
                <w:rStyle w:val="NormalTok"/>
              </w:rPr>
              <w:t xml:space="preserve">      </w:t>
            </w:r>
            <w:r>
              <w:rPr>
                <w:rStyle w:val="AttributeTok"/>
              </w:rPr>
              <w:t xml:space="preserve">biomarker_var =</w:t>
            </w:r>
            <w:r>
              <w:rPr>
                <w:rStyle w:val="NormalTok"/>
              </w:rPr>
              <w:t xml:space="preserve"> </w:t>
            </w:r>
            <w:r>
              <w:rPr>
                <w:rStyle w:val="StringTok"/>
              </w:rPr>
              <w:t xml:space="preserve">"antigen_iso"</w:t>
            </w:r>
            <w:r>
              <w:rPr>
                <w:rStyle w:val="NormalTok"/>
              </w:rPr>
              <w:t xml:space="preserve">,</w:t>
            </w:r>
            <w:r>
              <w:br/>
            </w:r>
            <w:r>
              <w:rPr>
                <w:rStyle w:val="NormalTok"/>
              </w:rPr>
              <w:t xml:space="preserve">      </w:t>
            </w:r>
            <w:r>
              <w:rPr>
                <w:rStyle w:val="AttributeTok"/>
              </w:rPr>
              <w:t xml:space="preserve">value_var =</w:t>
            </w:r>
            <w:r>
              <w:rPr>
                <w:rStyle w:val="NormalTok"/>
              </w:rPr>
              <w:t xml:space="preserve"> </w:t>
            </w:r>
            <w:r>
              <w:rPr>
                <w:rStyle w:val="StringTok"/>
              </w:rPr>
              <w:t xml:space="preserve">"result"</w:t>
            </w:r>
            <w:r>
              <w:rPr>
                <w:rStyle w:val="NormalTok"/>
              </w:rPr>
              <w:t xml:space="preserve">,</w:t>
            </w:r>
            <w:r>
              <w:br/>
            </w:r>
            <w:r>
              <w:rPr>
                <w:rStyle w:val="NormalTok"/>
              </w:rPr>
              <w:t xml:space="preserve">      </w:t>
            </w:r>
            <w:r>
              <w:rPr>
                <w:rStyle w:val="AttributeTok"/>
              </w:rPr>
              <w:t xml:space="preserve">time_in_days =</w:t>
            </w:r>
            <w:r>
              <w:rPr>
                <w:rStyle w:val="NormalTok"/>
              </w:rPr>
              <w:t xml:space="preserve"> </w:t>
            </w:r>
            <w:r>
              <w:rPr>
                <w:rStyle w:val="StringTok"/>
              </w:rPr>
              <w:t xml:space="preserve">"dayssincefeveronset"</w:t>
            </w:r>
            <w:r>
              <w:br/>
            </w:r>
            <w:r>
              <w:rPr>
                <w:rStyle w:val="NormalTok"/>
              </w:rPr>
              <w:t xml:space="preserve">    )</w:t>
            </w:r>
            <w:r>
              <w:br/>
            </w:r>
            <w:r>
              <w:br/>
            </w:r>
            <w:r>
              <w:rPr>
                <w:rStyle w:val="NormalTok"/>
              </w:rPr>
              <w:t xml:space="preserve">most_obs </w:t>
            </w:r>
            <w:r>
              <w:rPr>
                <w:rStyle w:val="OtherTok"/>
              </w:rPr>
              <w:t xml:space="preserve">&lt;-</w:t>
            </w:r>
            <w:r>
              <w:br/>
            </w:r>
            <w:r>
              <w:rPr>
                <w:rStyle w:val="NormalTok"/>
              </w:rPr>
              <w:t xml:space="preserve">  case_data </w:t>
            </w:r>
            <w:r>
              <w:rPr>
                <w:rStyle w:val="SpecialCharTok"/>
              </w:rPr>
              <w:t xml:space="preserve">|&gt;</w:t>
            </w:r>
            <w:r>
              <w:br/>
            </w:r>
            <w:r>
              <w:rPr>
                <w:rStyle w:val="NormalTok"/>
              </w:rPr>
              <w:t xml:space="preserve">  </w:t>
            </w:r>
            <w:r>
              <w:rPr>
                <w:rStyle w:val="FunctionTok"/>
              </w:rPr>
              <w:t xml:space="preserve">count</w:t>
            </w:r>
            <w:r>
              <w:rPr>
                <w:rStyle w:val="NormalTok"/>
              </w:rPr>
              <w:t xml:space="preserve">(id) </w:t>
            </w:r>
            <w:r>
              <w:rPr>
                <w:rStyle w:val="SpecialCharTok"/>
              </w:rPr>
              <w:t xml:space="preserve">|&gt;</w:t>
            </w:r>
            <w:r>
              <w:rPr>
                <w:rStyle w:val="NormalTok"/>
              </w:rPr>
              <w:t xml:space="preserve"> </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(n)) </w:t>
            </w:r>
            <w:r>
              <w:rPr>
                <w:rStyle w:val="SpecialCharTok"/>
              </w:rPr>
              <w:t xml:space="preserve">|&gt;</w:t>
            </w:r>
            <w:r>
              <w:rPr>
                <w:rStyle w:val="NormalTok"/>
              </w:rPr>
              <w:t xml:space="preserve"> </w:t>
            </w:r>
            <w:r>
              <w:br/>
            </w:r>
            <w:r>
              <w:rPr>
                <w:rStyle w:val="NormalTok"/>
              </w:rPr>
              <w:t xml:space="preserve">  </w:t>
            </w:r>
            <w:r>
              <w:rPr>
                <w:rStyle w:val="FunctionTok"/>
              </w:rPr>
              <w:t xml:space="preserve">head</w:t>
            </w:r>
            <w:r>
              <w:rPr>
                <w:rStyle w:val="NormalTok"/>
              </w:rPr>
              <w:t xml:space="preserve">(</w:t>
            </w:r>
            <w:r>
              <w:rPr>
                <w:rStyle w:val="DecValTok"/>
              </w:rPr>
              <w:t xml:space="preserve">10</w:t>
            </w:r>
            <w:r>
              <w:rPr>
                <w:rStyle w:val="NormalTok"/>
              </w:rPr>
              <w:t xml:space="preserve">)</w:t>
            </w:r>
            <w:r>
              <w:br/>
            </w:r>
            <w:r>
              <w:rPr>
                <w:rStyle w:val="NormalTok"/>
              </w:rPr>
              <w:t xml:space="preserve">  </w:t>
            </w:r>
            <w:r>
              <w:br/>
            </w:r>
            <w:r>
              <w:rPr>
                <w:rStyle w:val="NormalTok"/>
              </w:rPr>
              <w:t xml:space="preserve">case_data </w:t>
            </w:r>
            <w:r>
              <w:rPr>
                <w:rStyle w:val="SpecialCharTok"/>
              </w:rPr>
              <w:t xml:space="preserve">|&gt;</w:t>
            </w:r>
            <w:r>
              <w:rPr>
                <w:rStyle w:val="NormalTok"/>
              </w:rPr>
              <w:t xml:space="preserve"> </w:t>
            </w:r>
            <w:r>
              <w:br/>
            </w:r>
            <w:r>
              <w:rPr>
                <w:rStyle w:val="NormalTok"/>
              </w:rPr>
              <w:t xml:space="preserve">  </w:t>
            </w:r>
            <w:r>
              <w:rPr>
                <w:rStyle w:val="FunctionTok"/>
              </w:rPr>
              <w:t xml:space="preserve">semi_join</w:t>
            </w:r>
            <w:r>
              <w:rPr>
                <w:rStyle w:val="NormalTok"/>
              </w:rPr>
              <w:t xml:space="preserve">(most_obs, </w:t>
            </w:r>
            <w:r>
              <w:rPr>
                <w:rStyle w:val="AttributeTok"/>
              </w:rPr>
              <w:t xml:space="preserve">by =</w:t>
            </w:r>
            <w:r>
              <w:rPr>
                <w:rStyle w:val="NormalTok"/>
              </w:rPr>
              <w:t xml:space="preserve"> </w:t>
            </w:r>
            <w:r>
              <w:rPr>
                <w:rStyle w:val="StringTok"/>
              </w:rPr>
              <w:t xml:space="preserve">"id"</w:t>
            </w:r>
            <w:r>
              <w:rPr>
                <w:rStyle w:val="NormalTok"/>
              </w:rPr>
              <w:t xml:space="preserve">) </w:t>
            </w:r>
            <w:r>
              <w:rPr>
                <w:rStyle w:val="SpecialCharTok"/>
              </w:rPr>
              <w:t xml:space="preserve">|&gt;</w:t>
            </w:r>
            <w:r>
              <w:rPr>
                <w:rStyle w:val="NormalTok"/>
              </w:rPr>
              <w:t xml:space="preserve"> </w:t>
            </w:r>
            <w:r>
              <w:br/>
            </w:r>
            <w:r>
              <w:rPr>
                <w:rStyle w:val="NormalTok"/>
              </w:rPr>
              <w:t xml:space="preserve">    </w:t>
            </w:r>
            <w:r>
              <w:rPr>
                <w:rStyle w:val="FunctionTok"/>
              </w:rPr>
              <w:t xml:space="preserve">autoplot</w:t>
            </w:r>
            <w:r>
              <w:rPr>
                <w:rStyle w:val="NormalTok"/>
              </w:rPr>
              <w:t xml:space="preserve">(</w:t>
            </w:r>
            <w:r>
              <w:rPr>
                <w:rStyle w:val="AttributeTok"/>
              </w:rPr>
              <w:t xml:space="preserve">alpha =</w:t>
            </w:r>
            <w:r>
              <w:rPr>
                <w:rStyle w:val="NormalTok"/>
              </w:rPr>
              <w:t xml:space="preserve"> .</w:t>
            </w:r>
            <w:r>
              <w:rPr>
                <w:rStyle w:val="DecValTok"/>
              </w:rPr>
              <w:t xml:space="preserve">5</w:t>
            </w:r>
            <w:r>
              <w:rPr>
                <w:rStyle w:val="NormalTok"/>
              </w:rPr>
              <w:t xml:space="preserve">, </w:t>
            </w:r>
            <w:r>
              <w:rPr>
                <w:rStyle w:val="AttributeTok"/>
              </w:rPr>
              <w:t xml:space="preserve">log_x =</w:t>
            </w:r>
            <w:r>
              <w:rPr>
                <w:rStyle w:val="NormalTok"/>
              </w:rPr>
              <w:t xml:space="preserve"> </w:t>
            </w:r>
            <w:r>
              <w:rPr>
                <w:rStyle w:val="ConstantTok"/>
              </w:rPr>
              <w:t xml:space="preserve">FALSE</w:t>
            </w:r>
            <w:r>
              <w:rPr>
                <w:rStyle w:val="NormalTok"/>
              </w:rPr>
              <w:t xml:space="preserve">)</w:t>
            </w:r>
          </w:p>
          <w:p>
            <w:pPr>
              <w:jc w:val="center"/>
            </w:pPr>
            <w:r>
              <w:drawing>
                <wp:inline>
                  <wp:extent cx="4620126" cy="3696101"/>
                  <wp:effectExtent b="0" l="0" r="0" t="0"/>
                  <wp:docPr descr="" title="" id="65" name="Picture"/>
                  <a:graphic>
                    <a:graphicData uri="http://schemas.openxmlformats.org/drawingml/2006/picture">
                      <pic:pic>
                        <pic:nvPicPr>
                          <pic:cNvPr descr="methodology_files/figure-docx/unnamed-chunk-5-1.png" id="66" name="Picture"/>
                          <pic:cNvPicPr>
                            <a:picLocks noChangeArrowheads="1" noChangeAspect="1"/>
                          </pic:cNvPicPr>
                        </pic:nvPicPr>
                        <pic:blipFill>
                          <a:blip r:embed="rId64"/>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3: Observed antibody measurements over time since fever onset, for typhoid</w:t>
            </w:r>
          </w:p>
          <w:bookmarkEnd w:id="67"/>
        </w:tc>
      </w:tr>
    </w:tbl>
    <w:bookmarkEnd w:id="68"/>
    <w:bookmarkStart w:id="69" w:name="the-per-person-likelihood"/>
    <w:p>
      <w:pPr>
        <w:pStyle w:val="Heading2"/>
      </w:pPr>
      <w:r>
        <w:t xml:space="preserve">4.12 The per-person likelihood</w:t>
      </w:r>
    </w:p>
    <w:p>
      <w:pPr>
        <w:pStyle w:val="FirstParagraph"/>
      </w:pPr>
      <w:r>
        <w:t xml:space="preserve">Substituting</w:t>
      </w:r>
      <w:r>
        <w:t xml:space="preserve"> </w:t>
      </w:r>
      <m:oMath>
        <m:r>
          <m:t>p</m:t>
        </m:r>
        <m:r>
          <m:rPr>
            <m:sty m:val="p"/>
          </m:rPr>
          <m:t>(</m:t>
        </m:r>
        <m:r>
          <m:t>Y</m:t>
        </m:r>
        <m:r>
          <m:rPr>
            <m:sty m:val="p"/>
          </m:rPr>
          <m:t>=</m:t>
        </m:r>
        <m:r>
          <m:t>y</m:t>
        </m:r>
        <m:r>
          <m:rPr>
            <m:sty m:val="p"/>
          </m:rPr>
          <m:t>,</m:t>
        </m:r>
        <m:r>
          <m:t>T</m:t>
        </m:r>
        <m:r>
          <m:rPr>
            <m:sty m:val="p"/>
          </m:rPr>
          <m:t>=</m:t>
        </m:r>
        <m:r>
          <m:t>t</m:t>
        </m:r>
        <m:r>
          <m:rPr>
            <m:sty m:val="p"/>
          </m:rPr>
          <m:t>)</m:t>
        </m:r>
        <m:r>
          <m:rPr>
            <m:sty m:val="p"/>
          </m:rPr>
          <m:t>=</m:t>
        </m:r>
        <m:r>
          <m:t>p</m:t>
        </m:r>
        <m:r>
          <m:rPr>
            <m:sty m:val="p"/>
          </m:rPr>
          <m:t>(</m:t>
        </m:r>
        <m:r>
          <m:t>Y</m:t>
        </m:r>
        <m:r>
          <m:rPr>
            <m:sty m:val="p"/>
          </m:rPr>
          <m:t>=</m:t>
        </m:r>
        <m:r>
          <m:t>y</m:t>
        </m:r>
        <m:r>
          <m:rPr>
            <m:sty m:val="p"/>
          </m:rPr>
          <m:t>|</m:t>
        </m:r>
        <m:r>
          <m:t>T</m:t>
        </m:r>
        <m:r>
          <m:rPr>
            <m:sty m:val="p"/>
          </m:rPr>
          <m:t>=</m:t>
        </m:r>
        <m:r>
          <m:t>t</m:t>
        </m:r>
        <m:r>
          <m:rPr>
            <m:sty m:val="p"/>
          </m:rPr>
          <m:t>)</m:t>
        </m:r>
        <m:r>
          <m:t> </m:t>
        </m:r>
        <m:r>
          <m:t>p</m:t>
        </m:r>
        <m:r>
          <m:rPr>
            <m:sty m:val="p"/>
          </m:rPr>
          <m:t>(</m:t>
        </m:r>
        <m:r>
          <m:t>T</m:t>
        </m:r>
        <m:r>
          <m:rPr>
            <m:sty m:val="p"/>
          </m:rPr>
          <m:t>=</m:t>
        </m:r>
        <m:r>
          <m:t>t</m:t>
        </m:r>
        <m:r>
          <m:rPr>
            <m:sty m:val="p"/>
          </m:rPr>
          <m:t>)</m:t>
        </m:r>
      </m:oMath>
      <w:r>
        <w:t xml:space="preserve"> </w:t>
      </w:r>
      <w:r>
        <w:t xml:space="preserve">into the previous expression for</w:t>
      </w:r>
      <w:r>
        <w:t xml:space="preserve"> </w:t>
      </w:r>
      <m:oMath>
        <m:r>
          <m:t>p</m:t>
        </m:r>
        <m:r>
          <m:rPr>
            <m:sty m:val="p"/>
          </m:rPr>
          <m:t>(</m:t>
        </m:r>
        <m:r>
          <m:t>Y</m:t>
        </m:r>
        <m:r>
          <m:rPr>
            <m:sty m:val="p"/>
          </m:rPr>
          <m:t>=</m:t>
        </m:r>
        <m:r>
          <m:t>y</m:t>
        </m:r>
        <m:r>
          <m:rPr>
            <m:sty m:val="p"/>
          </m:rPr>
          <m:t>)</m:t>
        </m:r>
      </m:oMath>
      <w:r>
        <w:t xml:space="preserve">:</w:t>
      </w:r>
    </w:p>
    <w:p>
      <w:pPr>
        <w:pStyle w:val="BodyText"/>
      </w:pPr>
      <m:oMathPara>
        <m:oMathParaPr>
          <m:jc m:val="center"/>
        </m:oMathParaPr>
        <m:oMath>
          <m:eqArr>
            <m:e>
              <m:r>
                <m:t>p</m:t>
              </m:r>
              <m:r>
                <m:rPr>
                  <m:sty m:val="p"/>
                </m:rPr>
                <m:t>(</m:t>
              </m:r>
              <m:r>
                <m:t>Y</m:t>
              </m:r>
              <m:r>
                <m:rPr>
                  <m:sty m:val="p"/>
                </m:rPr>
                <m:t>=</m:t>
              </m:r>
              <m:r>
                <m:t>y</m:t>
              </m:r>
              <m:r>
                <m:rPr>
                  <m:sty m:val="p"/>
                </m:rPr>
                <m:t>)</m:t>
              </m:r>
              <m:r>
                <m:t>&amp;</m:t>
              </m:r>
              <m:r>
                <m:rPr>
                  <m:sty m:val="p"/>
                </m:rPr>
                <m:t>=</m:t>
              </m:r>
              <m:nary>
                <m:naryPr>
                  <m:chr m:val="∫"/>
                  <m:limLoc m:val="subSup"/>
                  <m:subHide m:val="off"/>
                  <m:supHide m:val="on"/>
                </m:naryPr>
                <m:sub>
                  <m:r>
                    <m:t>t</m:t>
                  </m:r>
                </m:sub>
                <m:sup>
                  <m:r>
                    <m:t>​</m:t>
                  </m:r>
                </m:sup>
                <m:e>
                  <m:r>
                    <m:t>p</m:t>
                  </m:r>
                </m:e>
              </m:nary>
              <m:r>
                <m:rPr>
                  <m:sty m:val="p"/>
                </m:rPr>
                <m:t>(</m:t>
              </m:r>
              <m:r>
                <m:t>Y</m:t>
              </m:r>
              <m:r>
                <m:rPr>
                  <m:sty m:val="p"/>
                </m:rPr>
                <m:t>=</m:t>
              </m:r>
              <m:r>
                <m:t>y</m:t>
              </m:r>
              <m:r>
                <m:rPr>
                  <m:sty m:val="p"/>
                </m:rPr>
                <m:t>|</m:t>
              </m:r>
              <m:r>
                <m:t>T</m:t>
              </m:r>
              <m:r>
                <m:rPr>
                  <m:sty m:val="p"/>
                </m:rPr>
                <m:t>=</m:t>
              </m:r>
              <m:r>
                <m:t>t</m:t>
              </m:r>
              <m:r>
                <m:rPr>
                  <m:sty m:val="p"/>
                </m:rPr>
                <m:t>)</m:t>
              </m:r>
              <m:r>
                <m:t> </m:t>
              </m:r>
              <m:r>
                <m:t>p</m:t>
              </m:r>
              <m:r>
                <m:rPr>
                  <m:sty m:val="p"/>
                </m:rPr>
                <m:t>(</m:t>
              </m:r>
              <m:r>
                <m:t>T</m:t>
              </m:r>
              <m:r>
                <m:rPr>
                  <m:sty m:val="p"/>
                </m:rPr>
                <m:t>=</m:t>
              </m:r>
              <m:r>
                <m:t>t</m:t>
              </m:r>
              <m:r>
                <m:rPr>
                  <m:sty m:val="p"/>
                </m:rPr>
                <m:t>)</m:t>
              </m:r>
              <m:r>
                <m:t> </m:t>
              </m:r>
              <m:r>
                <m:t>d</m:t>
              </m:r>
              <m:r>
                <m:t>t</m:t>
              </m:r>
            </m:e>
          </m:eqArr>
        </m:oMath>
      </m:oMathPara>
    </w:p>
    <w:p>
      <w:pPr>
        <w:pStyle w:val="FirstParagraph"/>
      </w:pPr>
      <w:r>
        <w:t xml:space="preserve">This integral is shorthand.</w:t>
      </w:r>
      <w:r>
        <w:t xml:space="preserve"> </w:t>
      </w:r>
      <m:oMath>
        <m:r>
          <m:t>T</m:t>
        </m:r>
      </m:oMath>
      <w:r>
        <w:t xml:space="preserve"> </w:t>
      </w:r>
      <w:r>
        <w:t xml:space="preserve">is not purely continuous: recall from</w:t>
      </w:r>
      <w:r>
        <w:t xml:space="preserve"> </w:t>
      </w:r>
      <w:r>
        <w:t xml:space="preserve">“Time since infection and</w:t>
      </w:r>
      <w:r>
        <w:t xml:space="preserve"> </w:t>
      </w:r>
      <w:r>
        <w:t xml:space="preserve">incidence”</w:t>
      </w:r>
      <w:r>
        <w:t xml:space="preserve"> </w:t>
      </w:r>
      <w:r>
        <w:t xml:space="preserve">that</w:t>
      </w:r>
      <w:r>
        <w:t xml:space="preserve"> </w:t>
      </w:r>
      <m:oMath>
        <m:r>
          <m:t>T</m:t>
        </m:r>
      </m:oMath>
      <w:r>
        <w:t xml:space="preserve"> </w:t>
      </w:r>
      <w:r>
        <w:t xml:space="preserve">has a</w:t>
      </w:r>
      <w:r>
        <w:t xml:space="preserve"> </w:t>
      </w:r>
      <w:r>
        <w:rPr>
          <w:b/>
          <w:bCs/>
        </w:rPr>
        <w:t xml:space="preserve">mixed</w:t>
      </w:r>
      <w:r>
        <w:t xml:space="preserve"> </w:t>
      </w:r>
      <w:r>
        <w:t xml:space="preserve">distribution — continuous on</w:t>
      </w:r>
      <w:r>
        <w:t xml:space="preserve"> </w:t>
      </w:r>
      <m:oMath>
        <m:r>
          <m:rPr>
            <m:sty m:val="p"/>
          </m:rPr>
          <m:t>[</m:t>
        </m:r>
        <m:r>
          <m:t>0</m:t>
        </m:r>
        <m:r>
          <m:rPr>
            <m:sty m:val="p"/>
          </m:rPr>
          <m:t>,</m:t>
        </m:r>
        <m:r>
          <m:t>a</m:t>
        </m:r>
        <m:r>
          <m:rPr>
            <m:sty m:val="p"/>
          </m:rPr>
          <m:t>]</m:t>
        </m:r>
      </m:oMath>
      <w:r>
        <w:t xml:space="preserve"> </w:t>
      </w:r>
      <w:r>
        <w:t xml:space="preserve">with density</w:t>
      </w:r>
      <w:r>
        <w:t xml:space="preserve"> </w:t>
      </w:r>
      <m:oMath>
        <m:r>
          <m:t>λ</m:t>
        </m:r>
        <m:r>
          <m:rPr>
            <m:sty m:val="p"/>
          </m:rPr>
          <m:t>exp</m:t>
        </m:r>
        <m:r>
          <m:t>​</m:t>
        </m:r>
        <m:d>
          <m:dPr>
            <m:begChr m:val="{"/>
            <m:sepChr m:val=""/>
            <m:endChr m:val="}"/>
            <m:grow/>
          </m:dPr>
          <m:e>
            <m:r>
              <m:rPr>
                <m:sty m:val="p"/>
              </m:rPr>
              <m:t>−</m:t>
            </m:r>
            <m:r>
              <m:t>λ</m:t>
            </m:r>
            <m:r>
              <m:t>t</m:t>
            </m:r>
          </m:e>
        </m:d>
        <m:r>
          <m:t>​</m:t>
        </m:r>
      </m:oMath>
      <w:r>
        <w:t xml:space="preserve">, plus a discrete atom</w:t>
      </w:r>
      <w:r>
        <w:t xml:space="preserve"> </w:t>
      </w:r>
      <w:r>
        <w:t xml:space="preserve">at</w:t>
      </w:r>
      <w:r>
        <w:t xml:space="preserve"> </w:t>
      </w:r>
      <m:oMath>
        <m:r>
          <m:t>T</m:t>
        </m:r>
        <m:r>
          <m:rPr>
            <m:sty m:val="p"/>
          </m:rPr>
          <m:t>=</m:t>
        </m:r>
        <m:r>
          <m:rPr>
            <m:nor/>
            <m:sty m:val="p"/>
          </m:rPr>
          <m:t>NA</m:t>
        </m:r>
      </m:oMath>
      <w:r>
        <w:t xml:space="preserve"> </w:t>
      </w:r>
      <w:r>
        <w:t xml:space="preserve">(never infected) with probability</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Written out explicitly, the</w:t>
      </w:r>
      <w:r>
        <w:t xml:space="preserve"> </w:t>
      </w:r>
      <w:r>
        <w:t xml:space="preserve">“integral”</w:t>
      </w:r>
      <w:r>
        <w:t xml:space="preserve"> </w:t>
      </w:r>
      <w:r>
        <w:t xml:space="preserve">over</w:t>
      </w:r>
      <w:r>
        <w:t xml:space="preserve"> </w:t>
      </w:r>
      <m:oMath>
        <m:r>
          <m:t>t</m:t>
        </m:r>
      </m:oMath>
      <w:r>
        <w:t xml:space="preserve"> </w:t>
      </w:r>
      <w:r>
        <w:t xml:space="preserve">is really an integral</w:t>
      </w:r>
      <w:r>
        <w:t xml:space="preserve"> </w:t>
      </w:r>
      <w:r>
        <w:t xml:space="preserve">over the continuous part plus the never-infected term:</w:t>
      </w:r>
    </w:p>
    <w:p>
      <w:pPr>
        <w:pStyle w:val="BodyText"/>
      </w:pPr>
      <m:oMathPara>
        <m:oMathParaPr>
          <m:jc m:val="center"/>
        </m:oMathParaPr>
        <m:oMath>
          <m:r>
            <m:t>p</m:t>
          </m:r>
          <m:r>
            <m:rPr>
              <m:sty m:val="p"/>
            </m:rPr>
            <m:t>(</m:t>
          </m:r>
          <m:r>
            <m:t>Y</m:t>
          </m:r>
          <m:r>
            <m:rPr>
              <m:sty m:val="p"/>
            </m:rPr>
            <m:t>=</m:t>
          </m:r>
          <m:r>
            <m:t>y</m:t>
          </m:r>
          <m:r>
            <m:rPr>
              <m:sty m:val="p"/>
            </m:rPr>
            <m:t>)</m:t>
          </m:r>
          <m:r>
            <m:rPr>
              <m:sty m:val="p"/>
            </m:rPr>
            <m:t>=</m:t>
          </m:r>
          <m:nary>
            <m:naryPr>
              <m:chr m:val="∫"/>
              <m:limLoc m:val="subSup"/>
              <m:subHide m:val="off"/>
              <m:supHide m:val="off"/>
            </m:naryPr>
            <m:sub>
              <m:r>
                <m:t>0</m:t>
              </m:r>
            </m:sub>
            <m:sup>
              <m:r>
                <m:t>a</m:t>
              </m:r>
            </m:sup>
            <m:e>
              <m:r>
                <m:t>p</m:t>
              </m:r>
            </m:e>
          </m:nary>
          <m:r>
            <m:rPr>
              <m:sty m:val="p"/>
            </m:rPr>
            <m:t>(</m:t>
          </m:r>
          <m:r>
            <m:t>Y</m:t>
          </m:r>
          <m:r>
            <m:rPr>
              <m:sty m:val="p"/>
            </m:rPr>
            <m:t>=</m:t>
          </m:r>
          <m:r>
            <m:t>y</m:t>
          </m:r>
          <m:r>
            <m:rPr>
              <m:sty m:val="p"/>
            </m:rPr>
            <m:t>∣</m:t>
          </m:r>
          <m:r>
            <m:t>T</m:t>
          </m:r>
          <m:r>
            <m:rPr>
              <m:sty m:val="p"/>
            </m:rPr>
            <m:t>=</m:t>
          </m:r>
          <m:r>
            <m:t>t</m:t>
          </m:r>
          <m:r>
            <m:rPr>
              <m:sty m:val="p"/>
            </m:rPr>
            <m:t>)</m:t>
          </m:r>
          <m:r>
            <m:t> </m:t>
          </m:r>
          <m:r>
            <m:t>λ</m:t>
          </m:r>
          <m:r>
            <m:rPr>
              <m:sty m:val="p"/>
            </m:rPr>
            <m:t>exp</m:t>
          </m:r>
          <m:r>
            <m:t>​</m:t>
          </m:r>
          <m:d>
            <m:dPr>
              <m:begChr m:val="{"/>
              <m:sepChr m:val=""/>
              <m:endChr m:val="}"/>
              <m:grow/>
            </m:dPr>
            <m:e>
              <m:r>
                <m:rPr>
                  <m:sty m:val="p"/>
                </m:rPr>
                <m:t>−</m:t>
              </m:r>
              <m:r>
                <m:t>λ</m:t>
              </m:r>
              <m:r>
                <m:t>t</m:t>
              </m:r>
            </m:e>
          </m:d>
          <m:r>
            <m:t>​</m:t>
          </m:r>
          <m:r>
            <m:t> </m:t>
          </m:r>
          <m:r>
            <m:t>d</m:t>
          </m:r>
          <m:r>
            <m:t>t</m:t>
          </m:r>
          <m:r>
            <m:t> </m:t>
          </m:r>
          <m:r>
            <m:rPr>
              <m:sty m:val="p"/>
            </m:rPr>
            <m:t>+</m:t>
          </m:r>
          <m:r>
            <m:t> </m:t>
          </m:r>
          <m: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m:oMathPara>
    </w:p>
    <w:p>
      <w:pPr>
        <w:pStyle w:val="FirstParagraph"/>
      </w:pPr>
      <w:r>
        <w:t xml:space="preserve">The first term is the contribution from subjects infected at least</w:t>
      </w:r>
      <w:r>
        <w:t xml:space="preserve"> </w:t>
      </w:r>
      <w:r>
        <w:t xml:space="preserve">once; the second is the contribution from subjects never infected.</w:t>
      </w:r>
    </w:p>
    <w:p>
      <w:pPr>
        <w:pStyle w:val="BodyText"/>
      </w:pPr>
      <w:r>
        <w:t xml:space="preserve">Two pieces here were not yet defined:</w:t>
      </w:r>
    </w:p>
    <w:p>
      <w:pPr>
        <w:pStyle w:val="Compact"/>
        <w:numPr>
          <w:ilvl w:val="0"/>
          <w:numId w:val="1022"/>
        </w:numPr>
      </w:pPr>
      <m:oMath>
        <m:r>
          <m:t>p</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w:r>
        <w:t xml:space="preserve"> </w:t>
      </w:r>
      <w:r>
        <w:t xml:space="preserve">is already known — the same</w:t>
      </w:r>
      <w:r>
        <w:t xml:space="preserve"> </w:t>
      </w:r>
      <w:r>
        <w:t xml:space="preserve">never-infected probability from</w:t>
      </w:r>
      <w:r>
        <w:t xml:space="preserve"> </w:t>
      </w:r>
      <w:r>
        <w:t xml:space="preserve">“Time since infection and incidence”</w:t>
      </w:r>
      <w:r>
        <w:t xml:space="preserve">.</w:t>
      </w:r>
    </w:p>
    <w:p>
      <w:pPr>
        <w:pStyle w:val="Compact"/>
        <w:numPr>
          <w:ilvl w:val="0"/>
          <w:numId w:val="1022"/>
        </w:numPr>
      </w:pPr>
      <m:oMath>
        <m:r>
          <m:t>p</m:t>
        </m:r>
        <m:r>
          <m:rPr>
            <m:sty m:val="p"/>
          </m:rPr>
          <m:t>(</m:t>
        </m:r>
        <m:r>
          <m:t>Y</m:t>
        </m:r>
        <m:r>
          <m:rPr>
            <m:sty m:val="p"/>
          </m:rPr>
          <m:t>=</m:t>
        </m:r>
        <m:r>
          <m:t>y</m:t>
        </m:r>
        <m:r>
          <m:rPr>
            <m:sty m:val="p"/>
          </m:rPr>
          <m:t>∣</m:t>
        </m:r>
        <m:r>
          <m:t>T</m:t>
        </m:r>
        <m:r>
          <m:rPr>
            <m:sty m:val="p"/>
          </m:rPr>
          <m:t>=</m:t>
        </m:r>
        <m:r>
          <m:rPr>
            <m:nor/>
            <m:sty m:val="p"/>
          </m:rPr>
          <m:t>NA</m:t>
        </m:r>
        <m:r>
          <m:rPr>
            <m:sty m:val="p"/>
          </m:rPr>
          <m:t>)</m:t>
        </m:r>
      </m:oMath>
      <w:r>
        <w:t xml:space="preserve">, the antibody response of a never-infected</w:t>
      </w:r>
      <w:r>
        <w:t xml:space="preserve"> </w:t>
      </w:r>
      <w:r>
        <w:t xml:space="preserve">subject, needs its own definition. Without any noise, a never-infected</w:t>
      </w:r>
      <w:r>
        <w:t xml:space="preserve"> </w:t>
      </w:r>
      <w:r>
        <w:t xml:space="preserve">subject’s true antibody level is exactly zero, so this is a point mass</w:t>
      </w:r>
      <w:r>
        <w:t xml:space="preserve"> </w:t>
      </w:r>
      <w:r>
        <w:t xml:space="preserve">at</w:t>
      </w:r>
      <w:r>
        <w:t xml:space="preserve"> </w:t>
      </w:r>
      <m:oMath>
        <m:r>
          <m:t>y</m:t>
        </m:r>
        <m:r>
          <m:rPr>
            <m:sty m:val="p"/>
          </m:rPr>
          <m:t>=</m:t>
        </m:r>
        <m:r>
          <m:t>0</m:t>
        </m:r>
      </m:oMath>
      <w:r>
        <w:t xml:space="preserve"> </w:t>
      </w:r>
      <w:r>
        <w:t xml:space="preserve">(a Dirac delta):</w:t>
      </w:r>
      <w:r>
        <w:t xml:space="preserve"> </w:t>
      </w:r>
      <m:oMath>
        <m: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t>δ</m:t>
        </m:r>
        <m:r>
          <m:rPr>
            <m:sty m:val="p"/>
          </m:rPr>
          <m:t>(</m:t>
        </m:r>
        <m:r>
          <m:t>y</m:t>
        </m:r>
        <m:r>
          <m:rPr>
            <m:sty m:val="p"/>
          </m:rPr>
          <m:t>)</m:t>
        </m:r>
      </m:oMath>
      <w:r>
        <w:t xml:space="preserve">. Once</w:t>
      </w:r>
      <w:r>
        <w:t xml:space="preserve"> </w:t>
      </w:r>
      <w:r>
        <w:t xml:space="preserve">measurement noise and biological (cross-reactivity) noise are</w:t>
      </w:r>
      <w:r>
        <w:t xml:space="preserve"> </w:t>
      </w:r>
      <w:r>
        <w:t xml:space="preserve">introduced below, this point mass is handled differently by each —</w:t>
      </w:r>
      <w:r>
        <w:t xml:space="preserve"> </w:t>
      </w:r>
      <w:r>
        <w:t xml:space="preserve">see</w:t>
      </w:r>
      <w:r>
        <w:t xml:space="preserve"> </w:t>
      </w:r>
      <w:r>
        <w:t xml:space="preserve">“Noise and never-infected subjects”</w:t>
      </w:r>
      <w:r>
        <w:t xml:space="preserve">.</w:t>
      </w:r>
    </w:p>
    <w:bookmarkEnd w:id="69"/>
    <w:bookmarkStart w:id="70" w:name="the-full-sample-likelihood"/>
    <w:p>
      <w:pPr>
        <w:pStyle w:val="Heading2"/>
      </w:pPr>
      <w:r>
        <w:t xml:space="preserve">4.13 The full-sample likelihood</w:t>
      </w:r>
    </w:p>
    <w:p>
      <w:pPr>
        <w:pStyle w:val="FirstParagraph"/>
      </w:pPr>
      <w:r>
        <w:t xml:space="preserve">Now, the likelihood of the observed data</w:t>
      </w:r>
      <w:r>
        <w:t xml:space="preserve"> </w:t>
      </w:r>
      <m:oMath>
        <m:acc>
          <m:accPr>
            <m:chr m:val="̃"/>
          </m:accPr>
          <m:e>
            <m:r>
              <m:t>y</m:t>
            </m:r>
          </m:e>
        </m:acc>
        <m:r>
          <m:rPr>
            <m:sty m:val="p"/>
          </m:rPr>
          <m:t>=</m:t>
        </m:r>
        <m:r>
          <m:rPr>
            <m:sty m:val="p"/>
          </m:rPr>
          <m:t>(</m:t>
        </m:r>
        <m:sSub>
          <m:e>
            <m:r>
              <m:t>y</m:t>
            </m:r>
          </m:e>
          <m:sub>
            <m:r>
              <m:t>1</m:t>
            </m:r>
          </m:sub>
        </m:sSub>
        <m:r>
          <m:rPr>
            <m:sty m:val="p"/>
          </m:rPr>
          <m:t>,</m:t>
        </m:r>
        <m:sSub>
          <m:e>
            <m:r>
              <m:t>y</m:t>
            </m:r>
          </m:e>
          <m:sub>
            <m:r>
              <m:t>2</m:t>
            </m:r>
          </m:sub>
        </m:sSub>
        <m:r>
          <m:rPr>
            <m:sty m:val="p"/>
          </m:rPr>
          <m:t>,</m:t>
        </m:r>
        <m:r>
          <m:rPr>
            <m:sty m:val="p"/>
          </m:rPr>
          <m:t>.</m:t>
        </m:r>
        <m:r>
          <m:rPr>
            <m:sty m:val="p"/>
          </m:rPr>
          <m:t>.</m:t>
        </m:r>
        <m:r>
          <m:rPr>
            <m:sty m:val="p"/>
          </m:rPr>
          <m:t>.</m:t>
        </m:r>
        <m:r>
          <m:rPr>
            <m:sty m:val="p"/>
          </m:rPr>
          <m:t>,</m:t>
        </m:r>
        <m:sSub>
          <m:e>
            <m:r>
              <m:t>y</m:t>
            </m:r>
          </m:e>
          <m:sub>
            <m:r>
              <m:t>n</m:t>
            </m:r>
          </m:sub>
        </m:sSub>
        <m:r>
          <m:rPr>
            <m:sty m:val="p"/>
          </m:rPr>
          <m:t>)</m:t>
        </m:r>
      </m:oMath>
      <w:r>
        <w:t xml:space="preserve"> </w:t>
      </w:r>
      <w:r>
        <w:t xml:space="preserve">is:</w:t>
      </w:r>
    </w:p>
    <w:p>
      <w:pPr>
        <w:pStyle w:val="BodyText"/>
      </w:pPr>
      <m:oMathPara>
        <m:oMathParaPr>
          <m:jc m:val="center"/>
        </m:oMathParaPr>
        <m:oMath>
          <m:eqArr>
            <m:e>
              <m:r>
                <m:rPr>
                  <m:scr m:val="script"/>
                  <m:sty m:val="p"/>
                </m:rPr>
                <m:t>L</m:t>
              </m:r>
              <m:r>
                <m:rPr>
                  <m:sty m:val="p"/>
                </m:rPr>
                <m:t>(</m:t>
              </m:r>
              <m:r>
                <m:t>λ</m:t>
              </m:r>
              <m:r>
                <m:rPr>
                  <m:sty m:val="p"/>
                </m:rPr>
                <m:t>)</m:t>
              </m:r>
              <m:r>
                <m:t>&amp;</m:t>
              </m:r>
              <m:r>
                <m:rPr>
                  <m:sty m:val="p"/>
                </m:rPr>
                <m:t>=</m:t>
              </m:r>
              <m:nary>
                <m:naryPr>
                  <m:chr m:val="∏"/>
                  <m:limLoc m:val="undOvr"/>
                  <m:subHide m:val="off"/>
                  <m:supHide m:val="off"/>
                </m:naryPr>
                <m:sub>
                  <m:r>
                    <m:t>i</m:t>
                  </m:r>
                  <m:r>
                    <m:rPr>
                      <m:sty m:val="p"/>
                    </m:rPr>
                    <m:t>=</m:t>
                  </m:r>
                  <m:r>
                    <m:t>1</m:t>
                  </m:r>
                </m:sub>
                <m:sup>
                  <m:r>
                    <m:t>n</m:t>
                  </m:r>
                </m:sup>
                <m:e>
                  <m:r>
                    <m:t>p</m:t>
                  </m:r>
                </m:e>
              </m:nary>
              <m:r>
                <m:rPr>
                  <m:sty m:val="p"/>
                </m:rPr>
                <m:t>(</m:t>
              </m:r>
              <m:r>
                <m:t>Y</m:t>
              </m:r>
              <m:r>
                <m:rPr>
                  <m:sty m:val="p"/>
                </m:rPr>
                <m:t>=</m:t>
              </m:r>
              <m:sSub>
                <m:e>
                  <m:r>
                    <m:t>y</m:t>
                  </m:r>
                </m:e>
                <m:sub>
                  <m:r>
                    <m:t>i</m:t>
                  </m:r>
                </m:sub>
              </m:sSub>
              <m:r>
                <m:rPr>
                  <m:sty m:val="p"/>
                </m:rPr>
                <m:t>)</m:t>
              </m:r>
            </m:e>
            <m:e>
              <m:r>
                <m:t>&amp;</m:t>
              </m:r>
              <m:r>
                <m:rPr>
                  <m:sty m:val="p"/>
                </m:rPr>
                <m:t>=</m:t>
              </m:r>
              <m:nary>
                <m:naryPr>
                  <m:chr m:val="∏"/>
                  <m:limLoc m:val="undOvr"/>
                  <m:subHide m:val="off"/>
                  <m:supHide m:val="off"/>
                </m:naryPr>
                <m:sub>
                  <m:r>
                    <m:t>i</m:t>
                  </m:r>
                  <m:r>
                    <m:rPr>
                      <m:sty m:val="p"/>
                    </m:rPr>
                    <m:t>=</m:t>
                  </m:r>
                  <m:r>
                    <m:t>1</m:t>
                  </m:r>
                </m:sub>
                <m:sup>
                  <m:r>
                    <m:t>n</m:t>
                  </m:r>
                </m:sup>
                <m:e>
                  <m:nary>
                    <m:naryPr>
                      <m:chr m:val="∫"/>
                      <m:limLoc m:val="subSup"/>
                      <m:subHide m:val="off"/>
                      <m:supHide m:val="on"/>
                    </m:naryPr>
                    <m:sub>
                      <m:r>
                        <m:t>t</m:t>
                      </m:r>
                    </m:sub>
                    <m:sup>
                      <m:r>
                        <m:t>​</m:t>
                      </m:r>
                    </m:sup>
                    <m:e>
                      <m:r>
                        <m:t>p</m:t>
                      </m:r>
                    </m:e>
                  </m:nary>
                </m:e>
              </m:nary>
              <m:r>
                <m:rPr>
                  <m:sty m:val="p"/>
                </m:rPr>
                <m:t>(</m:t>
              </m:r>
              <m:r>
                <m:t>Y</m:t>
              </m:r>
              <m:r>
                <m:rPr>
                  <m:sty m:val="p"/>
                </m:rPr>
                <m:t>=</m:t>
              </m:r>
              <m:sSub>
                <m:e>
                  <m:r>
                    <m:t>y</m:t>
                  </m:r>
                </m:e>
                <m:sub>
                  <m:r>
                    <m:t>i</m:t>
                  </m:r>
                </m:sub>
              </m:sSub>
              <m:r>
                <m:rPr>
                  <m:sty m:val="p"/>
                </m:rPr>
                <m:t>|</m:t>
              </m:r>
              <m:r>
                <m:t>T</m:t>
              </m:r>
              <m:r>
                <m:rPr>
                  <m:sty m:val="p"/>
                </m:rPr>
                <m:t>=</m:t>
              </m:r>
              <m:r>
                <m:t>t</m:t>
              </m:r>
              <m:r>
                <m:rPr>
                  <m:sty m:val="p"/>
                </m:rPr>
                <m:t>)</m:t>
              </m:r>
              <m:sSub>
                <m:e>
                  <m:r>
                    <m:t>p</m:t>
                  </m:r>
                </m:e>
                <m:sub>
                  <m:r>
                    <m:t>λ</m:t>
                  </m:r>
                </m:sub>
              </m:sSub>
              <m:r>
                <m:rPr>
                  <m:sty m:val="p"/>
                </m:rPr>
                <m:t>(</m:t>
              </m:r>
              <m:r>
                <m:t>T</m:t>
              </m:r>
              <m:r>
                <m:rPr>
                  <m:sty m:val="p"/>
                </m:rPr>
                <m:t>=</m:t>
              </m:r>
              <m:r>
                <m:t>t</m:t>
              </m:r>
              <m:r>
                <m:rPr>
                  <m:sty m:val="p"/>
                </m:rPr>
                <m:t>)</m:t>
              </m:r>
              <m:r>
                <m:t>d</m:t>
              </m:r>
              <m:r>
                <m:t>t</m:t>
              </m:r>
            </m:e>
            <m:e/>
          </m:eqArr>
        </m:oMath>
      </m:oMathPara>
    </w:p>
    <w:p>
      <w:pPr>
        <w:pStyle w:val="FirstParagraph"/>
      </w:pPr>
      <w:r>
        <w:t xml:space="preserve">If we know</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then we can maximize</w:t>
      </w:r>
      <w:r>
        <w:t xml:space="preserve"> </w:t>
      </w:r>
      <m:oMath>
        <m:r>
          <m:rPr>
            <m:scr m:val="script"/>
            <m:sty m:val="p"/>
          </m:rPr>
          <m:t>L</m:t>
        </m:r>
        <m:r>
          <m:rPr>
            <m:sty m:val="p"/>
          </m:rPr>
          <m:t>(</m:t>
        </m:r>
        <m:r>
          <m:t>λ</m:t>
        </m:r>
        <m:r>
          <m:rPr>
            <m:sty m:val="p"/>
          </m:rPr>
          <m:t>)</m:t>
        </m:r>
      </m:oMath>
      <w:r>
        <w:t xml:space="preserve"> </w:t>
      </w:r>
      <w:r>
        <w:t xml:space="preserve">over</w:t>
      </w:r>
      <w:r>
        <w:t xml:space="preserve"> </w:t>
      </w:r>
      <m:oMath>
        <m:r>
          <m:t>λ</m:t>
        </m:r>
      </m:oMath>
      <w:r>
        <w:t xml:space="preserve"> </w:t>
      </w:r>
      <w:r>
        <w:t xml:space="preserve">to find the</w:t>
      </w:r>
      <w:r>
        <w:t xml:space="preserve"> </w:t>
      </w:r>
      <w:r>
        <w:t xml:space="preserve">“maximum likelihood estimate”</w:t>
      </w:r>
      <w:r>
        <w:t xml:space="preserve"> </w:t>
      </w:r>
      <w:r>
        <w:t xml:space="preserve">(MLE) of</w:t>
      </w:r>
      <w:r>
        <w:t xml:space="preserve"> </w:t>
      </w:r>
      <m:oMath>
        <m:r>
          <m:t>λ</m:t>
        </m:r>
      </m:oMath>
      <w:r>
        <w:t xml:space="preserve">, denoted</w:t>
      </w:r>
      <w:r>
        <w:t xml:space="preserve"> </w:t>
      </w:r>
      <m:oMath>
        <m:acc>
          <m:accPr>
            <m:chr m:val="̂"/>
          </m:accPr>
          <m:e>
            <m:r>
              <m:t>λ</m:t>
            </m:r>
          </m:e>
        </m:acc>
      </m:oMath>
      <w:r>
        <w:t xml:space="preserve">.</w:t>
      </w:r>
    </w:p>
    <w:bookmarkEnd w:id="70"/>
    <w:bookmarkStart w:id="71" w:name="finding-the-mle-numerically"/>
    <w:p>
      <w:pPr>
        <w:pStyle w:val="Heading2"/>
      </w:pPr>
      <w:r>
        <w:t xml:space="preserve">4.14 Finding the MLE numerically</w:t>
      </w:r>
    </w:p>
    <w:p>
      <w:pPr>
        <w:pStyle w:val="FirstParagraph"/>
      </w:pPr>
      <w:r>
        <w:t xml:space="preserve">The likelihood of</w:t>
      </w:r>
      <w:r>
        <w:t xml:space="preserve"> </w:t>
      </w:r>
      <m:oMath>
        <m:r>
          <m:t>Y</m:t>
        </m:r>
      </m:oMath>
      <w:r>
        <w:t xml:space="preserve"> </w:t>
      </w:r>
      <w:r>
        <w:t xml:space="preserve">involves the product of integrals, so the log-likelihood involves the sum of the logs of integrals:</w:t>
      </w:r>
    </w:p>
    <w:p>
      <w:pPr>
        <w:pStyle w:val="BodyText"/>
      </w:pPr>
      <m:oMathPara>
        <m:oMathParaPr>
          <m:jc m:val="center"/>
        </m:oMathParaPr>
        <m:oMath>
          <m:eqArr>
            <m:e>
              <m:r>
                <m:rPr>
                  <m:sty m:val="p"/>
                </m:rPr>
                <m:t>log</m:t>
              </m:r>
              <m:r>
                <m:rPr>
                  <m:scr m:val="script"/>
                  <m:sty m:val="p"/>
                </m:rPr>
                <m:t>L</m:t>
              </m:r>
              <m:r>
                <m:rPr>
                  <m:sty m:val="p"/>
                </m:rPr>
                <m:t>(</m:t>
              </m:r>
              <m:r>
                <m:t>λ</m:t>
              </m:r>
              <m:r>
                <m:rPr>
                  <m:sty m:val="p"/>
                </m:rPr>
                <m:t>)</m:t>
              </m:r>
              <m:r>
                <m:t>&amp;</m:t>
              </m:r>
              <m:r>
                <m:rPr>
                  <m:sty m:val="p"/>
                </m:rPr>
                <m:t>=</m:t>
              </m:r>
              <m:r>
                <m:rPr>
                  <m:sty m:val="p"/>
                </m:rPr>
                <m:t>log</m:t>
              </m:r>
              <m:nary>
                <m:naryPr>
                  <m:chr m:val="∏"/>
                  <m:limLoc m:val="undOvr"/>
                  <m:subHide m:val="off"/>
                  <m:supHide m:val="off"/>
                </m:naryPr>
                <m:sub>
                  <m:r>
                    <m:t>i</m:t>
                  </m:r>
                  <m:r>
                    <m:rPr>
                      <m:sty m:val="p"/>
                    </m:rPr>
                    <m:t>=</m:t>
                  </m:r>
                  <m:r>
                    <m:t>1</m:t>
                  </m:r>
                </m:sub>
                <m:sup>
                  <m:r>
                    <m:t>n</m:t>
                  </m:r>
                </m:sup>
                <m:e>
                  <m:nary>
                    <m:naryPr>
                      <m:chr m:val="∫"/>
                      <m:limLoc m:val="subSup"/>
                      <m:subHide m:val="off"/>
                      <m:supHide m:val="on"/>
                    </m:naryPr>
                    <m:sub>
                      <m:r>
                        <m:t>t</m:t>
                      </m:r>
                    </m:sub>
                    <m:sup>
                      <m:r>
                        <m:t>​</m:t>
                      </m:r>
                    </m:sup>
                    <m:e>
                      <m:r>
                        <m:t>p</m:t>
                      </m:r>
                    </m:e>
                  </m:nary>
                </m:e>
              </m:nary>
              <m:r>
                <m:rPr>
                  <m:sty m:val="p"/>
                </m:rPr>
                <m:t>(</m:t>
              </m:r>
              <m:r>
                <m:t>Y</m:t>
              </m:r>
              <m:r>
                <m:rPr>
                  <m:sty m:val="p"/>
                </m:rPr>
                <m:t>=</m:t>
              </m:r>
              <m:sSub>
                <m:e>
                  <m:r>
                    <m:t>y</m:t>
                  </m:r>
                </m:e>
                <m:sub>
                  <m:r>
                    <m:t>i</m:t>
                  </m:r>
                </m:sub>
              </m:sSub>
              <m:r>
                <m:rPr>
                  <m:sty m:val="p"/>
                </m:rPr>
                <m:t>|</m:t>
              </m:r>
              <m:r>
                <m:t>T</m:t>
              </m:r>
              <m:r>
                <m:rPr>
                  <m:sty m:val="p"/>
                </m:rPr>
                <m:t>=</m:t>
              </m:r>
              <m:r>
                <m:t>t</m:t>
              </m:r>
              <m:r>
                <m:rPr>
                  <m:sty m:val="p"/>
                </m:rPr>
                <m:t>)</m:t>
              </m:r>
              <m:sSub>
                <m:e>
                  <m:r>
                    <m:t>p</m:t>
                  </m:r>
                </m:e>
                <m:sub>
                  <m:r>
                    <m:t>λ</m:t>
                  </m:r>
                </m:sub>
              </m:sSub>
              <m:r>
                <m:rPr>
                  <m:sty m:val="p"/>
                </m:rPr>
                <m:t>(</m:t>
              </m:r>
              <m:r>
                <m:t>T</m:t>
              </m:r>
              <m:r>
                <m:rPr>
                  <m:sty m:val="p"/>
                </m:rPr>
                <m:t>=</m:t>
              </m:r>
              <m:r>
                <m:t>t</m:t>
              </m:r>
              <m:r>
                <m:rPr>
                  <m:sty m:val="p"/>
                </m:rPr>
                <m:t>)</m:t>
              </m:r>
              <m:r>
                <m:t>d</m:t>
              </m:r>
              <m:r>
                <m:t>t</m:t>
              </m:r>
            </m:e>
            <m:e>
              <m:r>
                <m:t>&amp;</m:t>
              </m:r>
              <m:r>
                <m:rPr>
                  <m:sty m:val="p"/>
                </m:rPr>
                <m:t>=</m:t>
              </m:r>
              <m:nary>
                <m:naryPr>
                  <m:chr m:val="∑"/>
                  <m:limLoc m:val="undOvr"/>
                  <m:subHide m:val="off"/>
                  <m:supHide m:val="off"/>
                </m:naryPr>
                <m:sub>
                  <m:r>
                    <m:t>i</m:t>
                  </m:r>
                  <m:r>
                    <m:rPr>
                      <m:sty m:val="p"/>
                    </m:rPr>
                    <m:t>=</m:t>
                  </m:r>
                  <m:r>
                    <m:t>1</m:t>
                  </m:r>
                </m:sub>
                <m:sup>
                  <m:r>
                    <m:t>n</m:t>
                  </m:r>
                </m:sup>
                <m:e>
                  <m:r>
                    <m:rPr>
                      <m:sty m:val="p"/>
                    </m:rPr>
                    <m:t>log</m:t>
                  </m:r>
                </m:e>
              </m:nary>
              <m:d>
                <m:dPr>
                  <m:begChr m:val="{"/>
                  <m:sepChr m:val=""/>
                  <m:endChr m:val="}"/>
                  <m:grow/>
                </m:dPr>
                <m:e>
                  <m:nary>
                    <m:naryPr>
                      <m:chr m:val="∫"/>
                      <m:limLoc m:val="subSup"/>
                      <m:subHide m:val="off"/>
                      <m:supHide m:val="on"/>
                    </m:naryPr>
                    <m:sub>
                      <m:r>
                        <m:t>t</m:t>
                      </m:r>
                    </m:sub>
                    <m:sup>
                      <m:r>
                        <m:t>​</m:t>
                      </m:r>
                    </m:sup>
                    <m:e>
                      <m:r>
                        <m:t>p</m:t>
                      </m:r>
                    </m:e>
                  </m:nary>
                  <m:r>
                    <m:rPr>
                      <m:sty m:val="p"/>
                    </m:rPr>
                    <m:t>(</m:t>
                  </m:r>
                  <m:r>
                    <m:t>Y</m:t>
                  </m:r>
                  <m:r>
                    <m:rPr>
                      <m:sty m:val="p"/>
                    </m:rPr>
                    <m:t>=</m:t>
                  </m:r>
                  <m:sSub>
                    <m:e>
                      <m:r>
                        <m:t>y</m:t>
                      </m:r>
                    </m:e>
                    <m:sub>
                      <m:r>
                        <m:t>i</m:t>
                      </m:r>
                    </m:sub>
                  </m:sSub>
                  <m:r>
                    <m:rPr>
                      <m:sty m:val="p"/>
                    </m:rPr>
                    <m:t>|</m:t>
                  </m:r>
                  <m:r>
                    <m:t>T</m:t>
                  </m:r>
                  <m:r>
                    <m:rPr>
                      <m:sty m:val="p"/>
                    </m:rPr>
                    <m:t>=</m:t>
                  </m:r>
                  <m:r>
                    <m:t>t</m:t>
                  </m:r>
                  <m:r>
                    <m:rPr>
                      <m:sty m:val="p"/>
                    </m:rPr>
                    <m:t>)</m:t>
                  </m:r>
                  <m:sSub>
                    <m:e>
                      <m:r>
                        <m:t>p</m:t>
                      </m:r>
                    </m:e>
                    <m:sub>
                      <m:r>
                        <m:t>λ</m:t>
                      </m:r>
                    </m:sub>
                  </m:sSub>
                  <m:r>
                    <m:rPr>
                      <m:sty m:val="p"/>
                    </m:rPr>
                    <m:t>(</m:t>
                  </m:r>
                  <m:r>
                    <m:t>T</m:t>
                  </m:r>
                  <m:r>
                    <m:rPr>
                      <m:sty m:val="p"/>
                    </m:rPr>
                    <m:t>=</m:t>
                  </m:r>
                  <m:r>
                    <m:t>t</m:t>
                  </m:r>
                  <m:r>
                    <m:rPr>
                      <m:sty m:val="p"/>
                    </m:rPr>
                    <m:t>)</m:t>
                  </m:r>
                  <m:r>
                    <m:t>d</m:t>
                  </m:r>
                  <m:r>
                    <m:t>t</m:t>
                  </m:r>
                </m:e>
              </m:d>
            </m:e>
            <m:e/>
          </m:eqArr>
        </m:oMath>
      </m:oMathPara>
    </w:p>
    <w:p>
      <w:pPr>
        <w:pStyle w:val="FirstParagraph"/>
      </w:pPr>
      <w:r>
        <w:t xml:space="preserve">The derivative of this expression doesn’t come out cleanly,</w:t>
      </w:r>
      <w:r>
        <w:t xml:space="preserve"> </w:t>
      </w:r>
      <w:r>
        <w:t xml:space="preserve">so we will use a</w:t>
      </w:r>
      <w:r>
        <w:t xml:space="preserve"> </w:t>
      </w:r>
      <w:r>
        <w:rPr>
          <w:i/>
          <w:iCs/>
        </w:rPr>
        <w:t xml:space="preserve">numerical method</w:t>
      </w:r>
      <w:r>
        <w:t xml:space="preserve"> </w:t>
      </w:r>
      <w:r>
        <w:t xml:space="preserve">(specifically, a Newton-type algorithm,</w:t>
      </w:r>
      <w:r>
        <w:t xml:space="preserve"> </w:t>
      </w:r>
      <w:r>
        <w:t xml:space="preserve">implemented by</w:t>
      </w:r>
      <w:r>
        <w:t xml:space="preserve"> </w:t>
      </w:r>
      <w:r>
        <w:rPr>
          <w:rStyle w:val="VerbatimChar"/>
        </w:rPr>
        <w:t xml:space="preserve">stats::nlm()</w:t>
      </w:r>
      <w:r>
        <w:t xml:space="preserve">)</w:t>
      </w:r>
      <w:r>
        <w:t xml:space="preserve"> </w:t>
      </w:r>
      <w:r>
        <w:t xml:space="preserve">to find the MLE and corresponding standard error.</w:t>
      </w:r>
    </w:p>
    <w:bookmarkEnd w:id="71"/>
    <w:bookmarkStart w:id="76" w:name="X5bf3afb032987a059a98cb4220d3ca0c37d3f71"/>
    <w:p>
      <w:pPr>
        <w:pStyle w:val="Heading2"/>
      </w:pPr>
      <w:r>
        <w:t xml:space="preserve">4.15 Cluster-robust standard errors for clustered sampling designs</w:t>
      </w:r>
    </w:p>
    <w:p>
      <w:pPr>
        <w:pStyle w:val="FirstParagraph"/>
      </w:pPr>
      <w:r>
        <w:t xml:space="preserve">In many survey designs, observations are clustered (e.g., multiple individuals from the same household, school, or geographic area). Observations within the same cluster are often more similar to each other than to observations from different clusters, violating the independence assumption of standard maximum likelihood estimation.</w:t>
      </w:r>
    </w:p>
    <w:bookmarkStart w:id="72" w:name="why-clustering-matters"/>
    <w:p>
      <w:pPr>
        <w:pStyle w:val="Heading3"/>
      </w:pPr>
      <w:r>
        <w:t xml:space="preserve">4.15.1 Why clustering matters</w:t>
      </w:r>
    </w:p>
    <w:p>
      <w:pPr>
        <w:pStyle w:val="FirstParagraph"/>
      </w:pPr>
      <w:r>
        <w:t xml:space="preserve">When observations are clustered:</w:t>
      </w:r>
    </w:p>
    <w:p>
      <w:pPr>
        <w:pStyle w:val="Compact"/>
        <w:numPr>
          <w:ilvl w:val="0"/>
          <w:numId w:val="1023"/>
        </w:numPr>
      </w:pPr>
      <w:r>
        <w:t xml:space="preserve">Individuals within the same cluster share common exposures or characteristics</w:t>
      </w:r>
    </w:p>
    <w:p>
      <w:pPr>
        <w:pStyle w:val="Compact"/>
        <w:numPr>
          <w:ilvl w:val="0"/>
          <w:numId w:val="1023"/>
        </w:numPr>
      </w:pPr>
      <w:r>
        <w:t xml:space="preserve">Standard errors that ignore clustering will be</w:t>
      </w:r>
      <w:r>
        <w:t xml:space="preserve"> </w:t>
      </w:r>
      <w:r>
        <w:rPr>
          <w:b/>
          <w:bCs/>
        </w:rPr>
        <w:t xml:space="preserve">too small</w:t>
      </w:r>
      <w:r>
        <w:t xml:space="preserve"> </w:t>
      </w:r>
      <w:r>
        <w:t xml:space="preserve">(anti-conservative)</w:t>
      </w:r>
    </w:p>
    <w:p>
      <w:pPr>
        <w:pStyle w:val="Compact"/>
        <w:numPr>
          <w:ilvl w:val="0"/>
          <w:numId w:val="1023"/>
        </w:numPr>
      </w:pPr>
      <w:r>
        <w:t xml:space="preserve">Confidence intervals will be</w:t>
      </w:r>
      <w:r>
        <w:t xml:space="preserve"> </w:t>
      </w:r>
      <w:r>
        <w:rPr>
          <w:b/>
          <w:bCs/>
        </w:rPr>
        <w:t xml:space="preserve">too narrow</w:t>
      </w:r>
    </w:p>
    <w:p>
      <w:pPr>
        <w:pStyle w:val="Compact"/>
        <w:numPr>
          <w:ilvl w:val="0"/>
          <w:numId w:val="1023"/>
        </w:numPr>
      </w:pPr>
      <w:r>
        <w:t xml:space="preserve">p-values will be</w:t>
      </w:r>
      <w:r>
        <w:t xml:space="preserve"> </w:t>
      </w:r>
      <w:r>
        <w:rPr>
          <w:b/>
          <w:bCs/>
        </w:rPr>
        <w:t xml:space="preserve">too optimistic</w:t>
      </w:r>
    </w:p>
    <w:bookmarkEnd w:id="72"/>
    <w:bookmarkStart w:id="73" w:name="cluster-robust-variance-estimation"/>
    <w:p>
      <w:pPr>
        <w:pStyle w:val="Heading3"/>
      </w:pPr>
      <w:r>
        <w:t xml:space="preserve">4.15.2 Cluster-robust variance estimation</w:t>
      </w:r>
    </w:p>
    <w:p>
      <w:pPr>
        <w:pStyle w:val="FirstParagraph"/>
      </w:pPr>
      <w:r>
        <w:t xml:space="preserve">To account for within-cluster correlation,</w:t>
      </w:r>
      <w:r>
        <w:t xml:space="preserve"> </w:t>
      </w:r>
      <w:r>
        <w:rPr>
          <w:rStyle w:val="VerbatimChar"/>
        </w:rPr>
        <w:t xml:space="preserve">serocalculator</w:t>
      </w:r>
      <w:r>
        <w:t xml:space="preserve"> </w:t>
      </w:r>
      <w:r>
        <w:t xml:space="preserve">implements the</w:t>
      </w:r>
      <w:r>
        <w:t xml:space="preserve"> </w:t>
      </w:r>
      <w:r>
        <w:rPr>
          <w:b/>
          <w:bCs/>
        </w:rPr>
        <w:t xml:space="preserve">sandwich estimator</w:t>
      </w:r>
      <w:r>
        <w:t xml:space="preserve"> </w:t>
      </w:r>
      <w:r>
        <w:t xml:space="preserve">(also known as the Huber-White robust variance estimator):</w:t>
      </w:r>
    </w:p>
    <w:p>
      <w:pPr>
        <w:pStyle w:val="BodyText"/>
      </w:pPr>
      <m:oMathPara>
        <m:oMathParaPr>
          <m:jc m:val="center"/>
        </m:oMathParaPr>
        <m:oMath>
          <m:sSub>
            <m:e>
              <m:r>
                <m:t>V</m:t>
              </m:r>
            </m:e>
            <m:sub>
              <m:r>
                <m:rPr>
                  <m:nor/>
                  <m:sty m:val="p"/>
                </m:rPr>
                <m:t>robust</m:t>
              </m:r>
            </m:sub>
          </m:sSub>
          <m:r>
            <m:rPr>
              <m:sty m:val="p"/>
            </m:rPr>
            <m:t>=</m:t>
          </m:r>
          <m:sSup>
            <m:e>
              <m:r>
                <m:t>H</m:t>
              </m:r>
            </m:e>
            <m:sup>
              <m:r>
                <m:rPr>
                  <m:sty m:val="p"/>
                </m:rPr>
                <m:t>−</m:t>
              </m:r>
              <m:r>
                <m:t>1</m:t>
              </m:r>
            </m:sup>
          </m:sSup>
          <m:r>
            <m:t>B</m:t>
          </m:r>
          <m:sSup>
            <m:e>
              <m:r>
                <m:t>H</m:t>
              </m:r>
            </m:e>
            <m:sup>
              <m:r>
                <m:rPr>
                  <m:sty m:val="p"/>
                </m:rPr>
                <m:t>−</m:t>
              </m:r>
              <m:r>
                <m:t>1</m:t>
              </m:r>
            </m:sup>
          </m:sSup>
        </m:oMath>
      </m:oMathPara>
    </w:p>
    <w:p>
      <w:pPr>
        <w:pStyle w:val="FirstParagraph"/>
      </w:pPr>
      <w:r>
        <w:t xml:space="preserve">where:</w:t>
      </w:r>
    </w:p>
    <w:p>
      <w:pPr>
        <w:pStyle w:val="Compact"/>
        <w:numPr>
          <w:ilvl w:val="0"/>
          <w:numId w:val="1024"/>
        </w:numPr>
      </w:pPr>
      <m:oMath>
        <m:sSub>
          <m:e>
            <m:r>
              <m:t>V</m:t>
            </m:r>
          </m:e>
          <m:sub>
            <m:r>
              <m:rPr>
                <m:nor/>
                <m:sty m:val="p"/>
              </m:rPr>
              <m:t>robust</m:t>
            </m:r>
          </m:sub>
        </m:sSub>
      </m:oMath>
      <w:r>
        <w:t xml:space="preserve"> </w:t>
      </w:r>
      <w:r>
        <w:t xml:space="preserve">is the cluster-robust variance-covariance matrix for the parameter estimates</w:t>
      </w:r>
    </w:p>
    <w:p>
      <w:pPr>
        <w:pStyle w:val="Compact"/>
        <w:numPr>
          <w:ilvl w:val="0"/>
          <w:numId w:val="1024"/>
        </w:numPr>
      </w:pPr>
      <m:oMath>
        <m:r>
          <m:t>H</m:t>
        </m:r>
      </m:oMath>
      <w:r>
        <w:t xml:space="preserve"> </w:t>
      </w:r>
      <w:r>
        <w:t xml:space="preserve">is the Hessian matrix (matrix of second partial derivatives of the log-likelihood with respect to the parameters, evaluated at the MLE</w:t>
      </w:r>
      <w:r>
        <w:t xml:space="preserve"> </w:t>
      </w:r>
      <m:oMath>
        <m:acc>
          <m:accPr>
            <m:chr m:val="̂"/>
          </m:accPr>
          <m:e>
            <m:r>
              <m:t>λ</m:t>
            </m:r>
          </m:e>
        </m:acc>
      </m:oMath>
      <w:r>
        <w:t xml:space="preserve">)</w:t>
      </w:r>
    </w:p>
    <w:p>
      <w:pPr>
        <w:pStyle w:val="Compact"/>
        <w:numPr>
          <w:ilvl w:val="0"/>
          <w:numId w:val="1024"/>
        </w:numPr>
      </w:pPr>
      <m:oMath>
        <m:r>
          <m:t>B</m:t>
        </m:r>
      </m:oMath>
      <w:r>
        <w:t xml:space="preserve"> </w:t>
      </w:r>
      <w:r>
        <w:t xml:space="preserve">is the</w:t>
      </w:r>
      <w:r>
        <w:t xml:space="preserve"> </w:t>
      </w:r>
      <w:r>
        <w:t xml:space="preserve">“meat”</w:t>
      </w:r>
      <w:r>
        <w:t xml:space="preserve"> </w:t>
      </w:r>
      <w:r>
        <w:t xml:space="preserve">of the sandwich, calculated from cluster-level score contributions:</w:t>
      </w:r>
    </w:p>
    <w:p>
      <w:pPr>
        <w:pStyle w:val="FirstParagraph"/>
      </w:pPr>
      <m:oMathPara>
        <m:oMathParaPr>
          <m:jc m:val="center"/>
        </m:oMathParaPr>
        <m:oMath>
          <m:r>
            <m:t>B</m:t>
          </m:r>
          <m:r>
            <m:rPr>
              <m:sty m:val="p"/>
            </m:rPr>
            <m:t>=</m:t>
          </m:r>
          <m:nary>
            <m:naryPr>
              <m:chr m:val="∑"/>
              <m:limLoc m:val="undOvr"/>
              <m:subHide m:val="off"/>
              <m:supHide m:val="off"/>
            </m:naryPr>
            <m:sub>
              <m:r>
                <m:t>c</m:t>
              </m:r>
              <m:r>
                <m:rPr>
                  <m:sty m:val="p"/>
                </m:rPr>
                <m:t>=</m:t>
              </m:r>
              <m:r>
                <m:t>1</m:t>
              </m:r>
            </m:sub>
            <m:sup>
              <m:r>
                <m:t>C</m:t>
              </m:r>
            </m:sup>
            <m:e>
              <m:sSub>
                <m:e>
                  <m:r>
                    <m:t>U</m:t>
                  </m:r>
                </m:e>
                <m:sub>
                  <m:r>
                    <m:t>c</m:t>
                  </m:r>
                </m:sub>
              </m:sSub>
            </m:e>
          </m:nary>
          <m:sSubSup>
            <m:e>
              <m:r>
                <m:t>U</m:t>
              </m:r>
            </m:e>
            <m:sub>
              <m:r>
                <m:t>c</m:t>
              </m:r>
            </m:sub>
            <m:sup>
              <m:r>
                <m:t>T</m:t>
              </m:r>
            </m:sup>
          </m:sSubSup>
        </m:oMath>
      </m:oMathPara>
    </w:p>
    <w:p>
      <w:pPr>
        <w:pStyle w:val="FirstParagraph"/>
      </w:pPr>
      <w:r>
        <w:t xml:space="preserve">where:</w:t>
      </w:r>
    </w:p>
    <w:p>
      <w:pPr>
        <w:pStyle w:val="Compact"/>
        <w:numPr>
          <w:ilvl w:val="0"/>
          <w:numId w:val="1025"/>
        </w:numPr>
      </w:pPr>
      <m:oMath>
        <m:r>
          <m:t>C</m:t>
        </m:r>
      </m:oMath>
      <w:r>
        <w:t xml:space="preserve"> </w:t>
      </w:r>
      <w:r>
        <w:t xml:space="preserve">is the total number of clusters in the sample</w:t>
      </w:r>
    </w:p>
    <w:p>
      <w:pPr>
        <w:pStyle w:val="Compact"/>
        <w:numPr>
          <w:ilvl w:val="0"/>
          <w:numId w:val="1025"/>
        </w:numPr>
      </w:pPr>
      <m:oMath>
        <m:sSub>
          <m:e>
            <m:r>
              <m:t>U</m:t>
            </m:r>
          </m:e>
          <m:sub>
            <m:r>
              <m:t>c</m:t>
            </m:r>
          </m:sub>
        </m:sSub>
        <m:r>
          <m:rPr>
            <m:sty m:val="p"/>
          </m:rPr>
          <m:t>=</m:t>
        </m:r>
        <m:nary>
          <m:naryPr>
            <m:chr m:val="∑"/>
            <m:limLoc m:val="undOvr"/>
            <m:subHide m:val="off"/>
            <m:supHide m:val="on"/>
          </m:naryPr>
          <m:sub>
            <m:r>
              <m:t>i</m:t>
            </m:r>
            <m:r>
              <m:rPr>
                <m:sty m:val="p"/>
              </m:rPr>
              <m:t>∈</m:t>
            </m:r>
            <m:r>
              <m:t>c</m:t>
            </m:r>
          </m:sub>
          <m:sup>
            <m:r>
              <m:t>​</m:t>
            </m:r>
          </m:sup>
          <m:e>
            <m:sSub>
              <m:e>
                <m:r>
                  <m:rPr>
                    <m:sty m:val="p"/>
                  </m:rPr>
                  <m:t>∇</m:t>
                </m:r>
              </m:e>
              <m:sub>
                <m:r>
                  <m:t>λ</m:t>
                </m:r>
              </m:sub>
            </m:sSub>
          </m:e>
        </m:nary>
        <m:r>
          <m:rPr>
            <m:sty m:val="p"/>
          </m:rPr>
          <m:t>log</m:t>
        </m:r>
        <m:r>
          <m:t>p</m:t>
        </m:r>
        <m:r>
          <m:rPr>
            <m:sty m:val="p"/>
          </m:rPr>
          <m:t>(</m:t>
        </m:r>
        <m:sSub>
          <m:e>
            <m:r>
              <m:t>Y</m:t>
            </m:r>
          </m:e>
          <m:sub>
            <m:r>
              <m:t>i</m:t>
            </m:r>
          </m:sub>
        </m:sSub>
        <m:r>
          <m:rPr>
            <m:sty m:val="p"/>
          </m:rPr>
          <m:t>|</m:t>
        </m:r>
        <m:r>
          <m:t>λ</m:t>
        </m:r>
        <m:r>
          <m:rPr>
            <m:sty m:val="p"/>
          </m:rPr>
          <m:t>)</m:t>
        </m:r>
      </m:oMath>
      <w:r>
        <w:t xml:space="preserve"> </w:t>
      </w:r>
      <w:r>
        <w:t xml:space="preserve">is the score contribution (gradient of log-likelihood with respect to</w:t>
      </w:r>
      <w:r>
        <w:t xml:space="preserve"> </w:t>
      </w:r>
      <m:oMath>
        <m:r>
          <m:t>λ</m:t>
        </m:r>
      </m:oMath>
      <w:r>
        <w:t xml:space="preserve">) from all observations in cluster</w:t>
      </w:r>
      <w:r>
        <w:t xml:space="preserve"> </w:t>
      </w:r>
      <m:oMath>
        <m:r>
          <m:t>c</m:t>
        </m:r>
      </m:oMath>
    </w:p>
    <w:p>
      <w:pPr>
        <w:pStyle w:val="Compact"/>
        <w:numPr>
          <w:ilvl w:val="0"/>
          <w:numId w:val="1025"/>
        </w:numPr>
      </w:pPr>
      <m:oMath>
        <m:sSub>
          <m:e>
            <m:r>
              <m:rPr>
                <m:sty m:val="p"/>
              </m:rPr>
              <m:t>∇</m:t>
            </m:r>
          </m:e>
          <m:sub>
            <m:r>
              <m:t>λ</m:t>
            </m:r>
          </m:sub>
        </m:sSub>
      </m:oMath>
      <w:r>
        <w:t xml:space="preserve"> </w:t>
      </w:r>
      <w:r>
        <w:t xml:space="preserve">denotes the gradient operator (vector of partial derivatives with respect to the parameter</w:t>
      </w:r>
      <w:r>
        <w:t xml:space="preserve"> </w:t>
      </w:r>
      <m:oMath>
        <m:r>
          <m:t>λ</m:t>
        </m:r>
      </m:oMath>
      <w:r>
        <w:t xml:space="preserve">)</w:t>
      </w:r>
    </w:p>
    <w:bookmarkEnd w:id="73"/>
    <w:bookmarkStart w:id="74" w:name="implementation-in-serocalculator"/>
    <w:p>
      <w:pPr>
        <w:pStyle w:val="Heading3"/>
      </w:pPr>
      <w:r>
        <w:t xml:space="preserve">4.15.3 Implementation in serocalculator</w:t>
      </w:r>
    </w:p>
    <w:p>
      <w:pPr>
        <w:pStyle w:val="FirstParagraph"/>
      </w:pPr>
      <w:r>
        <w:t xml:space="preserve">Users can specify clustering using the</w:t>
      </w:r>
      <w:r>
        <w:t xml:space="preserve"> </w:t>
      </w:r>
      <w:r>
        <w:rPr>
          <w:rStyle w:val="VerbatimChar"/>
        </w:rPr>
        <w:t xml:space="preserve">cluster_var</w:t>
      </w:r>
      <w:r>
        <w:t xml:space="preserve"> </w:t>
      </w:r>
      <w:r>
        <w:t xml:space="preserve">parameter:</w:t>
      </w:r>
    </w:p>
    <w:p>
      <w:pPr>
        <w:pStyle w:val="SourceCode"/>
      </w:pPr>
      <w:r>
        <w:rPr>
          <w:rStyle w:val="CommentTok"/>
        </w:rPr>
        <w:t xml:space="preserve"># Single-level clustering (e.g., by household)</w:t>
      </w:r>
      <w:r>
        <w:br/>
      </w:r>
      <w:r>
        <w:rPr>
          <w:rStyle w:val="NormalTok"/>
        </w:rPr>
        <w:t xml:space="preserve">est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data,</w:t>
      </w:r>
      <w:r>
        <w:br/>
      </w:r>
      <w:r>
        <w:rPr>
          <w:rStyle w:val="NormalTok"/>
        </w:rPr>
        <w:t xml:space="preserve">  </w:t>
      </w:r>
      <w:r>
        <w:rPr>
          <w:rStyle w:val="AttributeTok"/>
        </w:rPr>
        <w:t xml:space="preserve">cluster_var =</w:t>
      </w:r>
      <w:r>
        <w:rPr>
          <w:rStyle w:val="NormalTok"/>
        </w:rPr>
        <w:t xml:space="preserve"> </w:t>
      </w:r>
      <w:r>
        <w:rPr>
          <w:rStyle w:val="StringTok"/>
        </w:rPr>
        <w:t xml:space="preserve">"household_id"</w:t>
      </w:r>
      <w:r>
        <w:rPr>
          <w:rStyle w:val="NormalTok"/>
        </w:rPr>
        <w:t xml:space="preserve">,</w:t>
      </w:r>
      <w:r>
        <w:br/>
      </w:r>
      <w:r>
        <w:rPr>
          <w:rStyle w:val="NormalTok"/>
        </w:rPr>
        <w:t xml:space="preserve">  ...</w:t>
      </w:r>
      <w:r>
        <w:br/>
      </w:r>
      <w:r>
        <w:rPr>
          <w:rStyle w:val="NormalTok"/>
        </w:rPr>
        <w:t xml:space="preserve">)</w:t>
      </w:r>
      <w:r>
        <w:br/>
      </w:r>
      <w:r>
        <w:br/>
      </w:r>
      <w:r>
        <w:rPr>
          <w:rStyle w:val="CommentTok"/>
        </w:rPr>
        <w:t xml:space="preserve"># Multi-level clustering (e.g., schools within districts)</w:t>
      </w:r>
      <w:r>
        <w:br/>
      </w:r>
      <w:r>
        <w:rPr>
          <w:rStyle w:val="NormalTok"/>
        </w:rPr>
        <w:t xml:space="preserve">est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data,</w:t>
      </w:r>
      <w:r>
        <w:br/>
      </w:r>
      <w:r>
        <w:rPr>
          <w:rStyle w:val="NormalTok"/>
        </w:rPr>
        <w:t xml:space="preserve">  </w:t>
      </w:r>
      <w:r>
        <w:rPr>
          <w:rStyle w:val="AttributeTok"/>
        </w:rPr>
        <w:t xml:space="preserve">cluster_var =</w:t>
      </w:r>
      <w:r>
        <w:rPr>
          <w:rStyle w:val="NormalTok"/>
        </w:rPr>
        <w:t xml:space="preserve"> </w:t>
      </w:r>
      <w:r>
        <w:rPr>
          <w:rStyle w:val="FunctionTok"/>
        </w:rPr>
        <w:t xml:space="preserve">c</w:t>
      </w:r>
      <w:r>
        <w:rPr>
          <w:rStyle w:val="NormalTok"/>
        </w:rPr>
        <w:t xml:space="preserve">(</w:t>
      </w:r>
      <w:r>
        <w:rPr>
          <w:rStyle w:val="StringTok"/>
        </w:rPr>
        <w:t xml:space="preserve">"district_id"</w:t>
      </w:r>
      <w:r>
        <w:rPr>
          <w:rStyle w:val="NormalTok"/>
        </w:rPr>
        <w:t xml:space="preserve">, </w:t>
      </w:r>
      <w:r>
        <w:rPr>
          <w:rStyle w:val="StringTok"/>
        </w:rPr>
        <w:t xml:space="preserve">"school_id"</w:t>
      </w:r>
      <w:r>
        <w:rPr>
          <w:rStyle w:val="NormalTok"/>
        </w:rPr>
        <w:t xml:space="preserve">),</w:t>
      </w:r>
      <w:r>
        <w:br/>
      </w:r>
      <w:r>
        <w:rPr>
          <w:rStyle w:val="NormalTok"/>
        </w:rPr>
        <w:t xml:space="preserve">  ...</w:t>
      </w:r>
      <w:r>
        <w:br/>
      </w:r>
      <w:r>
        <w:rPr>
          <w:rStyle w:val="NormalTok"/>
        </w:rPr>
        <w:t xml:space="preserve">)</w:t>
      </w:r>
    </w:p>
    <w:p>
      <w:pPr>
        <w:pStyle w:val="FirstParagraph"/>
      </w:pPr>
      <w:r>
        <w:t xml:space="preserve">When cluster-robust standard errors are used, the</w:t>
      </w:r>
      <w:r>
        <w:t xml:space="preserve"> </w:t>
      </w:r>
      <w:r>
        <w:rPr>
          <w:rStyle w:val="VerbatimChar"/>
        </w:rPr>
        <w:t xml:space="preserve">summary()</w:t>
      </w:r>
      <w:r>
        <w:t xml:space="preserve"> </w:t>
      </w:r>
      <w:r>
        <w:t xml:space="preserve">output indicates this with</w:t>
      </w:r>
      <w:r>
        <w:t xml:space="preserve"> </w:t>
      </w:r>
      <w:r>
        <w:rPr>
          <w:rStyle w:val="VerbatimChar"/>
        </w:rPr>
        <w:t xml:space="preserve">se_type = "cluster-robust"</w:t>
      </w:r>
      <w:r>
        <w:t xml:space="preserve">.</w:t>
      </w:r>
    </w:p>
    <w:bookmarkEnd w:id="74"/>
    <w:bookmarkStart w:id="75" w:name="effect-on-results"/>
    <w:p>
      <w:pPr>
        <w:pStyle w:val="Heading3"/>
      </w:pPr>
      <w:r>
        <w:t xml:space="preserve">4.15.4 Effect on results</w:t>
      </w:r>
    </w:p>
    <w:p>
      <w:pPr>
        <w:pStyle w:val="Compact"/>
        <w:numPr>
          <w:ilvl w:val="0"/>
          <w:numId w:val="1026"/>
        </w:numPr>
      </w:pPr>
      <w:r>
        <w:rPr>
          <w:b/>
          <w:bCs/>
        </w:rPr>
        <w:t xml:space="preserve">Point estimates</w:t>
      </w:r>
      <w:r>
        <w:t xml:space="preserve"> </w:t>
      </w:r>
      <w:r>
        <w:t xml:space="preserve">(incidence rates) remain unchanged</w:t>
      </w:r>
    </w:p>
    <w:p>
      <w:pPr>
        <w:pStyle w:val="Compact"/>
        <w:numPr>
          <w:ilvl w:val="0"/>
          <w:numId w:val="1026"/>
        </w:numPr>
      </w:pPr>
      <w:r>
        <w:rPr>
          <w:b/>
          <w:bCs/>
        </w:rPr>
        <w:t xml:space="preserve">Standard errors</w:t>
      </w:r>
      <w:r>
        <w:t xml:space="preserve"> </w:t>
      </w:r>
      <w:r>
        <w:t xml:space="preserve">often increase to reflect within-cluster correlation</w:t>
      </w:r>
    </w:p>
    <w:p>
      <w:pPr>
        <w:pStyle w:val="Compact"/>
        <w:numPr>
          <w:ilvl w:val="0"/>
          <w:numId w:val="1026"/>
        </w:numPr>
      </w:pPr>
      <w:r>
        <w:rPr>
          <w:b/>
          <w:bCs/>
        </w:rPr>
        <w:t xml:space="preserve">Confidence intervals</w:t>
      </w:r>
      <w:r>
        <w:t xml:space="preserve"> </w:t>
      </w:r>
      <w:r>
        <w:t xml:space="preserve">appropriately widen to account for reduced effective sample size</w:t>
      </w:r>
    </w:p>
    <w:bookmarkEnd w:id="75"/>
    <w:bookmarkEnd w:id="76"/>
    <w:bookmarkEnd w:id="77"/>
    <w:bookmarkStart w:id="108" w:name="modeling-the-seroresponse-kinetics-curve"/>
    <w:p>
      <w:pPr>
        <w:pStyle w:val="Heading1"/>
      </w:pPr>
      <w:r>
        <w:t xml:space="preserve">5. Modeling the seroresponse kinetics curve</w:t>
      </w:r>
    </w:p>
    <w:p>
      <w:pPr>
        <w:pStyle w:val="FirstParagraph"/>
      </w:pPr>
      <w:r>
        <w:t xml:space="preserve">Now, we need a model for the antibody response to infection,</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w:t>
      </w:r>
      <w:r>
        <w:t xml:space="preserve"> </w:t>
      </w:r>
      <w:r>
        <w:t xml:space="preserve">The current version of the</w:t>
      </w:r>
      <w:r>
        <w:t xml:space="preserve"> </w:t>
      </w:r>
      <w:r>
        <w:rPr>
          <w:rStyle w:val="VerbatimChar"/>
        </w:rPr>
        <w:t xml:space="preserve">{serocalculator}</w:t>
      </w:r>
      <w:r>
        <w:t xml:space="preserve"> </w:t>
      </w:r>
      <w:r>
        <w:t xml:space="preserve">package uses</w:t>
      </w:r>
      <w:r>
        <w:t xml:space="preserve"> </w:t>
      </w:r>
      <w:r>
        <w:t xml:space="preserve">a two-phase model for</w:t>
      </w:r>
      <w:r>
        <w:t xml:space="preserve"> </w:t>
      </w:r>
      <w:r>
        <w:t xml:space="preserve">the shape of the seroresponse</w:t>
      </w:r>
      <w:r>
        <w:t xml:space="preserve"> </w:t>
      </w:r>
      <w:r>
        <w:t xml:space="preserve">(Teunis et al. 2016)</w:t>
      </w:r>
      <w:r>
        <w:t xml:space="preserve">.</w:t>
      </w:r>
    </w:p>
    <w:bookmarkStart w:id="78" w:name="model-for-active-infection-period"/>
    <w:p>
      <w:pPr>
        <w:pStyle w:val="Heading2"/>
      </w:pPr>
      <w:r>
        <w:t xml:space="preserve">5.1 Model for active infection period</w:t>
      </w:r>
    </w:p>
    <w:p>
      <w:pPr>
        <w:pStyle w:val="FirstParagraph"/>
      </w:pPr>
      <w:r>
        <w:t xml:space="preserve">The first phase of the model represents the</w:t>
      </w:r>
      <w:r>
        <w:t xml:space="preserve"> </w:t>
      </w:r>
      <w:r>
        <w:rPr>
          <w:b/>
          <w:bCs/>
        </w:rPr>
        <w:t xml:space="preserve">active infection period</w:t>
      </w:r>
      <w:r>
        <w:t xml:space="preserve">,</w:t>
      </w:r>
      <w:r>
        <w:t xml:space="preserve"> </w:t>
      </w:r>
      <w:r>
        <w:t xml:space="preserve">and uses a simplified Lotka-Volterra predator-prey model</w:t>
      </w:r>
      <w:r>
        <w:t xml:space="preserve"> </w:t>
      </w:r>
      <w:r>
        <w:t xml:space="preserve">(Volterra 1928)</w:t>
      </w:r>
      <w:r>
        <w:t xml:space="preserve"> </w:t>
      </w:r>
      <w:r>
        <w:t xml:space="preserve">where the pathogen is the prey and the antibodies are the predator:</w:t>
      </w:r>
    </w:p>
    <w:p>
      <w:pPr>
        <w:pStyle w:val="BodyText"/>
      </w:pPr>
      <w:r>
        <w:t xml:space="preserve">Notation:</w:t>
      </w:r>
    </w:p>
    <w:p>
      <w:pPr>
        <w:pStyle w:val="Compact"/>
        <w:numPr>
          <w:ilvl w:val="0"/>
          <w:numId w:val="1027"/>
        </w:numPr>
      </w:pPr>
      <m:oMath>
        <m:r>
          <m:t>x</m:t>
        </m:r>
        <m:r>
          <m:rPr>
            <m:sty m:val="p"/>
          </m:rPr>
          <m:t>(</m:t>
        </m:r>
        <m:r>
          <m:t>t</m:t>
        </m:r>
        <m:r>
          <m:rPr>
            <m:sty m:val="p"/>
          </m:rPr>
          <m:t>)</m:t>
        </m:r>
      </m:oMath>
      <w:r>
        <w:t xml:space="preserve">: pathogen concentration at time</w:t>
      </w:r>
      <w:r>
        <w:t xml:space="preserve"> </w:t>
      </w:r>
      <m:oMath>
        <m:r>
          <m:t>t</m:t>
        </m:r>
      </m:oMath>
    </w:p>
    <w:p>
      <w:pPr>
        <w:pStyle w:val="Compact"/>
        <w:numPr>
          <w:ilvl w:val="0"/>
          <w:numId w:val="1027"/>
        </w:numPr>
      </w:pPr>
      <m:oMath>
        <m:r>
          <m:t>y</m:t>
        </m:r>
        <m:r>
          <m:rPr>
            <m:sty m:val="p"/>
          </m:rPr>
          <m:t>(</m:t>
        </m:r>
        <m:r>
          <m:t>t</m:t>
        </m:r>
        <m:r>
          <m:rPr>
            <m:sty m:val="p"/>
          </m:rPr>
          <m:t>)</m:t>
        </m:r>
      </m:oMath>
      <w:r>
        <w:t xml:space="preserve">: antibody concentration at time</w:t>
      </w:r>
      <w:r>
        <w:t xml:space="preserve"> </w:t>
      </w:r>
      <m:oMath>
        <m:r>
          <m:t>t</m:t>
        </m:r>
      </m:oMath>
    </w:p>
    <w:p>
      <w:pPr>
        <w:pStyle w:val="Compact"/>
        <w:numPr>
          <w:ilvl w:val="0"/>
          <w:numId w:val="1027"/>
        </w:numPr>
      </w:pPr>
      <m:oMath>
        <m:sSub>
          <m:e>
            <m:r>
              <m:t>μ</m:t>
            </m:r>
          </m:e>
          <m:sub>
            <m:r>
              <m:t>0</m:t>
            </m:r>
          </m:sub>
        </m:sSub>
      </m:oMath>
      <w:r>
        <w:t xml:space="preserve">: pathogen growth rate;</w:t>
      </w:r>
      <w:r>
        <w:t xml:space="preserve"> </w:t>
      </w:r>
      <m:oMath>
        <m:r>
          <m:t>β</m:t>
        </m:r>
      </m:oMath>
      <w:r>
        <w:t xml:space="preserve">: pathogen-inactivation strength;</w:t>
      </w:r>
      <w:r>
        <w:t xml:space="preserve"> </w:t>
      </w:r>
      <m:oMath>
        <m:r>
          <m:t>μ</m:t>
        </m:r>
      </m:oMath>
      <w:r>
        <w:t xml:space="preserve">: antibody growth rate</w:t>
      </w:r>
    </w:p>
    <w:p>
      <w:pPr>
        <w:pStyle w:val="FirstParagraph"/>
      </w:pPr>
      <w:r>
        <w:t xml:space="preserve">Model:</w:t>
      </w:r>
    </w:p>
    <w:p>
      <w:pPr>
        <w:pStyle w:val="Compact"/>
      </w:pPr>
      <m:oMathPara>
        <m:oMathParaPr>
          <m:jc m:val="center"/>
        </m:oMathParaPr>
        <m:oMath>
          <m:sSup>
            <m:e>
              <m:r>
                <m:t>x</m:t>
              </m:r>
            </m:e>
            <m:sup>
              <m:r>
                <m:rPr>
                  <m:sty m:val="p"/>
                </m:rPr>
                <m:t>′</m:t>
              </m:r>
            </m:sup>
          </m:sSup>
          <m:r>
            <m:rPr>
              <m:sty m:val="p"/>
            </m:rPr>
            <m:t>(</m:t>
          </m:r>
          <m:r>
            <m:t>t</m:t>
          </m:r>
          <m:r>
            <m:rPr>
              <m:sty m:val="p"/>
            </m:rPr>
            <m:t>)</m:t>
          </m:r>
          <m:r>
            <m:rPr>
              <m:sty m:val="p"/>
            </m:rPr>
            <m:t>=</m:t>
          </m:r>
          <m:sSub>
            <m:e>
              <m:r>
                <m:t>μ</m:t>
              </m:r>
            </m:e>
            <m:sub>
              <m:r>
                <m:t>0</m:t>
              </m:r>
            </m:sub>
          </m:sSub>
          <m:r>
            <m:t> </m:t>
          </m:r>
          <m:r>
            <m:t>x</m:t>
          </m:r>
          <m:r>
            <m:rPr>
              <m:sty m:val="p"/>
            </m:rPr>
            <m:t>(</m:t>
          </m:r>
          <m:r>
            <m:t>t</m:t>
          </m:r>
          <m:r>
            <m:rPr>
              <m:sty m:val="p"/>
            </m:rPr>
            <m:t>)</m:t>
          </m:r>
          <m:r>
            <m:rPr>
              <m:sty m:val="p"/>
            </m:rPr>
            <m:t>−</m:t>
          </m:r>
          <m:r>
            <m:t>β</m:t>
          </m:r>
          <m:r>
            <m:t>y</m:t>
          </m:r>
          <m:r>
            <m:rPr>
              <m:sty m:val="p"/>
            </m:rPr>
            <m:t>(</m:t>
          </m:r>
          <m:r>
            <m:t>t</m:t>
          </m:r>
          <m:r>
            <m:rPr>
              <m:sty m:val="p"/>
            </m:rPr>
            <m:t>)</m:t>
          </m:r>
        </m:oMath>
      </m:oMathPara>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m:oMathPara>
    </w:p>
    <w:p>
      <w:pPr>
        <w:pStyle w:val="FirstParagraph"/>
      </w:pPr>
      <w:r>
        <w:t xml:space="preserve">With baseline antibody concentration</w:t>
      </w:r>
      <w:r>
        <w:t xml:space="preserve"> </w:t>
      </w:r>
      <m:oMath>
        <m:r>
          <m:t>y</m:t>
        </m:r>
        <m:r>
          <m:rPr>
            <m:sty m:val="p"/>
          </m:rPr>
          <m:t>(</m:t>
        </m:r>
        <m:r>
          <m:t>0</m:t>
        </m:r>
        <m:r>
          <m:rPr>
            <m:sty m:val="p"/>
          </m:rPr>
          <m:t>)</m:t>
        </m:r>
        <m:r>
          <m:rPr>
            <m:sty m:val="p"/>
          </m:rPr>
          <m:t>=</m:t>
        </m:r>
        <m:sSub>
          <m:e>
            <m:r>
              <m:t>y</m:t>
            </m:r>
          </m:e>
          <m:sub>
            <m:r>
              <m:t>0</m:t>
            </m:r>
          </m:sub>
        </m:sSub>
      </m:oMath>
      <w:r>
        <w:t xml:space="preserve"> </w:t>
      </w:r>
      <w:r>
        <w:t xml:space="preserve">and</w:t>
      </w:r>
      <w:r>
        <w:t xml:space="preserve"> </w:t>
      </w:r>
      <w:r>
        <w:t xml:space="preserve">initial pathogen concentration</w:t>
      </w:r>
      <w:r>
        <w:t xml:space="preserve"> </w:t>
      </w:r>
      <m:oMath>
        <m:r>
          <m:t>x</m:t>
        </m:r>
        <m:r>
          <m:rPr>
            <m:sty m:val="p"/>
          </m:rPr>
          <m:t>(</m:t>
        </m:r>
        <m:r>
          <m:t>0</m:t>
        </m:r>
        <m:r>
          <m:rPr>
            <m:sty m:val="p"/>
          </m:rPr>
          <m:t>)</m:t>
        </m:r>
        <m:r>
          <m:rPr>
            <m:sty m:val="p"/>
          </m:rPr>
          <m:t>=</m:t>
        </m:r>
        <m:sSub>
          <m:e>
            <m:r>
              <m:t>x</m:t>
            </m:r>
          </m:e>
          <m:sub>
            <m:r>
              <m:t>0</m:t>
            </m:r>
          </m:sub>
        </m:sSub>
      </m:oMath>
      <w:r>
        <w:t xml:space="preserve">.</w:t>
      </w:r>
    </w:p>
    <w:p>
      <w:pPr>
        <w:pStyle w:val="BodyText"/>
      </w:pPr>
      <w:r>
        <w:t xml:space="preserve">Compared to the standard LV model:</w:t>
      </w:r>
    </w:p>
    <w:p>
      <w:pPr>
        <w:numPr>
          <w:ilvl w:val="0"/>
          <w:numId w:val="1029"/>
        </w:numPr>
      </w:pPr>
      <w:r>
        <w:t xml:space="preserve">the predation term with the</w:t>
      </w:r>
      <w:r>
        <w:t xml:space="preserve"> </w:t>
      </w:r>
      <m:oMath>
        <m:r>
          <m:t>β</m:t>
        </m:r>
      </m:oMath>
      <w:r>
        <w:t xml:space="preserve"> </w:t>
      </w:r>
      <w:r>
        <w:t xml:space="preserve">coefficient is missing</w:t>
      </w:r>
      <w:r>
        <w:t xml:space="preserve"> </w:t>
      </w:r>
      <w:r>
        <w:t xml:space="preserve">the prey concentration</w:t>
      </w:r>
      <w:r>
        <w:t xml:space="preserve"> </w:t>
      </w:r>
      <m:oMath>
        <m:r>
          <m:t>x</m:t>
        </m:r>
        <m:r>
          <m:rPr>
            <m:sty m:val="p"/>
          </m:rPr>
          <m:t>(</m:t>
        </m:r>
        <m:r>
          <m:t>t</m:t>
        </m:r>
        <m:r>
          <m:rPr>
            <m:sty m:val="p"/>
          </m:rPr>
          <m:t>)</m:t>
        </m:r>
      </m:oMath>
      <w:r>
        <w:t xml:space="preserve"> </w:t>
      </w:r>
      <w:r>
        <w:t xml:space="preserve">factor;</w:t>
      </w:r>
      <w:r>
        <w:t xml:space="preserve"> </w:t>
      </w:r>
      <w:r>
        <w:t xml:space="preserve">we assume that the efficiency of predation</w:t>
      </w:r>
      <w:r>
        <w:t xml:space="preserve"> </w:t>
      </w:r>
      <w:r>
        <w:t xml:space="preserve">doesn’t depend on pathogen concentration.</w:t>
      </w:r>
    </w:p>
    <w:p>
      <w:pPr>
        <w:numPr>
          <w:ilvl w:val="0"/>
          <w:numId w:val="1029"/>
        </w:numPr>
      </w:pPr>
      <w:r>
        <w:t xml:space="preserve">the differential equation for predator density is missing</w:t>
      </w:r>
      <w:r>
        <w:t xml:space="preserve"> </w:t>
      </w:r>
      <w:r>
        <w:t xml:space="preserve">the predator death rate term</w:t>
      </w:r>
      <w:r>
        <w:t xml:space="preserve"> </w:t>
      </w:r>
      <m:oMath>
        <m:r>
          <m:rPr>
            <m:sty m:val="p"/>
          </m:rPr>
          <m:t>−</m:t>
        </m:r>
        <m:r>
          <m:t>γ</m:t>
        </m:r>
        <m:r>
          <m:t>y</m:t>
        </m:r>
        <m:r>
          <m:rPr>
            <m:sty m:val="p"/>
          </m:rPr>
          <m:t>(</m:t>
        </m:r>
        <m:r>
          <m:t>t</m:t>
        </m:r>
        <m:r>
          <m:rPr>
            <m:sty m:val="p"/>
          </m:rPr>
          <m:t>)</m:t>
        </m:r>
      </m:oMath>
      <w:r>
        <w:t xml:space="preserve">; we assume that as long as there are any pathogens present,</w:t>
      </w:r>
      <w:r>
        <w:t xml:space="preserve"> </w:t>
      </w:r>
      <w:r>
        <w:t xml:space="preserve">the antibody decay rate is negligible compared to the growth rate.</w:t>
      </w:r>
    </w:p>
    <w:p>
      <w:pPr>
        <w:numPr>
          <w:ilvl w:val="0"/>
          <w:numId w:val="1029"/>
        </w:numPr>
      </w:pPr>
      <w:r>
        <w:t xml:space="preserve">the predator growth rate term</w:t>
      </w:r>
      <w:r>
        <w:t xml:space="preserve"> </w:t>
      </w:r>
      <m:oMath>
        <m:r>
          <m:t>μ</m:t>
        </m:r>
        <m:r>
          <m:t> </m:t>
        </m:r>
        <m:r>
          <m:t>y</m:t>
        </m:r>
        <m:r>
          <m:rPr>
            <m:sty m:val="p"/>
          </m:rPr>
          <m:t>(</m:t>
        </m:r>
        <m:r>
          <m:t>t</m:t>
        </m:r>
        <m:r>
          <m:rPr>
            <m:sty m:val="p"/>
          </m:rPr>
          <m:t>)</m:t>
        </m:r>
      </m:oMath>
      <w:r>
        <w:t xml:space="preserve"> </w:t>
      </w:r>
      <w:r>
        <w:t xml:space="preserve">is missing</w:t>
      </w:r>
      <w:r>
        <w:t xml:space="preserve"> </w:t>
      </w:r>
      <w:r>
        <w:t xml:space="preserve">the prey density factor</w:t>
      </w:r>
      <w:r>
        <w:t xml:space="preserve"> </w:t>
      </w:r>
      <m:oMath>
        <m:r>
          <m:t>x</m:t>
        </m:r>
        <m:r>
          <m:rPr>
            <m:sty m:val="p"/>
          </m:rPr>
          <m:t>(</m:t>
        </m:r>
        <m:r>
          <m:t>t</m:t>
        </m:r>
        <m:r>
          <m:rPr>
            <m:sty m:val="p"/>
          </m:rPr>
          <m:t>)</m:t>
        </m:r>
      </m:oMath>
      <w:r>
        <w:t xml:space="preserve">;</w:t>
      </w:r>
      <w:r>
        <w:t xml:space="preserve"> </w:t>
      </w:r>
      <w:r>
        <w:t xml:space="preserve">we assume that as long as there are any pathogens present,</w:t>
      </w:r>
      <w:r>
        <w:t xml:space="preserve"> </w:t>
      </w:r>
      <w:r>
        <w:t xml:space="preserve">the antibody concentration grows at the same exponential rate.</w:t>
      </w:r>
    </w:p>
    <w:p>
      <w:pPr>
        <w:pStyle w:val="FirstParagraph"/>
      </w:pPr>
      <w:r>
        <w:t xml:space="preserve">These omissions were made to simplify the estimation process,</w:t>
      </w:r>
      <w:r>
        <w:t xml:space="preserve"> </w:t>
      </w:r>
      <w:r>
        <w:t xml:space="preserve">under the assumption that they are negligible</w:t>
      </w:r>
      <w:r>
        <w:t xml:space="preserve"> </w:t>
      </w:r>
      <w:r>
        <w:t xml:space="preserve">compared to the other terms in the model.</w:t>
      </w:r>
    </w:p>
    <w:bookmarkEnd w:id="78"/>
    <w:bookmarkStart w:id="79" w:name="model-for-post-infection-antibody-decay"/>
    <w:p>
      <w:pPr>
        <w:pStyle w:val="Heading2"/>
      </w:pPr>
      <w:r>
        <w:t xml:space="preserve">5.2 Model for post-infection antibody decay</w:t>
      </w:r>
    </w:p>
    <w:p>
      <w:pPr>
        <w:pStyle w:val="FirstParagraph"/>
      </w:pPr>
      <w:r>
        <w:t xml:space="preserve">Once the immune response clears the infection, the pathogen concentration</w:t>
      </w:r>
      <w:r>
        <w:t xml:space="preserve"> </w:t>
      </w:r>
      <w:r>
        <w:t xml:space="preserve">reaches zero, so antibody production is no longer stimulated and the</w:t>
      </w:r>
      <w:r>
        <w:t xml:space="preserve"> </w:t>
      </w:r>
      <w:r>
        <w:t xml:space="preserve">antibody concentration decays.</w:t>
      </w:r>
    </w:p>
    <w:p>
      <w:pPr>
        <w:pStyle w:val="BodyText"/>
      </w:pPr>
      <w:r>
        <w:t xml:space="preserve">Once the pathogen is cleared (</w:t>
      </w:r>
      <m:oMath>
        <m:r>
          <m:t>x</m:t>
        </m:r>
        <m:r>
          <m:rPr>
            <m:sty m:val="p"/>
          </m:rPr>
          <m:t>(</m:t>
        </m:r>
        <m:r>
          <m:t>t</m:t>
        </m:r>
        <m:r>
          <m:rPr>
            <m:sty m:val="p"/>
          </m:rPr>
          <m:t>)</m:t>
        </m:r>
        <m:r>
          <m:rPr>
            <m:sty m:val="p"/>
          </m:rPr>
          <m:t>=</m:t>
        </m:r>
        <m:r>
          <m:t>0</m:t>
        </m:r>
      </m:oMath>
      <w:r>
        <w:t xml:space="preserve">), the antibody concentration decays:</w:t>
      </w:r>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m:oMathPara>
    </w:p>
    <w:p>
      <w:pPr>
        <w:pStyle w:val="FirstParagraph"/>
      </w:pPr>
      <w:r>
        <w:t xml:space="preserve">Antibody decay is different from exponential (log–linear) decay.</w:t>
      </w:r>
      <w:r>
        <w:t xml:space="preserve"> </w:t>
      </w:r>
      <w:r>
        <w:t xml:space="preserve">When the shape parameter</w:t>
      </w:r>
      <w:r>
        <w:t xml:space="preserve"> </w:t>
      </w:r>
      <m:oMath>
        <m:r>
          <m:t>r</m:t>
        </m:r>
        <m:r>
          <m:rPr>
            <m:sty m:val="p"/>
          </m:rPr>
          <m:t>&gt;</m:t>
        </m:r>
        <m:r>
          <m:t>1</m:t>
        </m:r>
      </m:oMath>
      <w:r>
        <w:t xml:space="preserve">,</w:t>
      </w:r>
      <w:r>
        <w:t xml:space="preserve"> </w:t>
      </w:r>
      <w:r>
        <w:t xml:space="preserve">log concentrations decrease rapidly after infection has terminated,</w:t>
      </w:r>
      <w:r>
        <w:t xml:space="preserve"> </w:t>
      </w:r>
      <w:r>
        <w:t xml:space="preserve">but decay then slows down and</w:t>
      </w:r>
      <w:r>
        <w:t xml:space="preserve"> </w:t>
      </w:r>
      <w:r>
        <w:t xml:space="preserve">low antibody concentrations are maintained for a long period.</w:t>
      </w:r>
      <w:r>
        <w:t xml:space="preserve"> </w:t>
      </w:r>
      <w:r>
        <w:t xml:space="preserve">If</w:t>
      </w:r>
      <w:r>
        <w:t xml:space="preserve"> </w:t>
      </w:r>
      <m:oMath>
        <m:r>
          <m:t>r</m:t>
        </m:r>
        <m:r>
          <m:rPr>
            <m:sty m:val="p"/>
          </m:rPr>
          <m:t>=</m:t>
        </m:r>
        <m:r>
          <m:t>1</m:t>
        </m:r>
      </m:oMath>
      <w:r>
        <w:t xml:space="preserve">,</w:t>
      </w:r>
      <w:r>
        <w:t xml:space="preserve"> </w:t>
      </w:r>
      <w:r>
        <w:t xml:space="preserve">this model reduces to exponential decay with decay rate</w:t>
      </w:r>
      <w:r>
        <w:t xml:space="preserve"> </w:t>
      </w:r>
      <m:oMath>
        <m:r>
          <m:t>α</m:t>
        </m:r>
      </m:oMath>
      <w:r>
        <w:t xml:space="preserve">.</w:t>
      </w:r>
    </w:p>
    <w:bookmarkEnd w:id="79"/>
    <w:bookmarkStart w:id="80" w:name="assembling-the-full-response-curve"/>
    <w:p>
      <w:pPr>
        <w:pStyle w:val="Heading2"/>
      </w:pPr>
      <w:r>
        <w:t xml:space="preserve">5.3 Assembling the full response curve</w:t>
      </w:r>
    </w:p>
    <w:p>
      <w:pPr>
        <w:pStyle w:val="FirstParagraph"/>
      </w:pPr>
      <w:r>
        <w:t xml:space="preserve">The serum antibody response</w:t>
      </w:r>
      <w:r>
        <w:t xml:space="preserve"> </w:t>
      </w:r>
      <m:oMath>
        <m:r>
          <m:t>y</m:t>
        </m:r>
        <m:r>
          <m:rPr>
            <m:sty m:val="p"/>
          </m:rPr>
          <m:t>(</m:t>
        </m:r>
        <m:r>
          <m:t>t</m:t>
        </m:r>
        <m:r>
          <m:rPr>
            <m:sty m:val="p"/>
          </m:rPr>
          <m:t>)</m:t>
        </m:r>
      </m:oMath>
      <w:r>
        <w:t xml:space="preserve"> </w:t>
      </w:r>
      <w:r>
        <w:t xml:space="preserve">can be written as</w:t>
      </w:r>
    </w:p>
    <w:p>
      <w:pPr>
        <w:pStyle w:val="BodyText"/>
      </w:pPr>
      <m:oMathPara>
        <m:oMathParaPr>
          <m:jc m:val="center"/>
        </m:oMathParaPr>
        <m:oMath>
          <m:r>
            <m:t>y</m:t>
          </m:r>
          <m:r>
            <m:rPr>
              <m:sty m:val="p"/>
            </m:rPr>
            <m:t>(</m:t>
          </m:r>
          <m:r>
            <m:t>t</m:t>
          </m:r>
          <m:r>
            <m:rPr>
              <m:sty m:val="p"/>
            </m:rPr>
            <m:t>)</m:t>
          </m:r>
          <m:r>
            <m:rPr>
              <m:sty m:val="p"/>
            </m:rPr>
            <m:t>=</m:t>
          </m:r>
          <m:sSub>
            <m:e>
              <m:r>
                <m:t>y</m:t>
              </m:r>
            </m:e>
            <m:sub>
              <m:r>
                <m:rPr>
                  <m:sty m:val="p"/>
                </m:rPr>
                <m:t>+</m:t>
              </m:r>
            </m:sub>
          </m:sSub>
          <m:r>
            <m:rPr>
              <m:sty m:val="p"/>
            </m:rPr>
            <m:t>(</m:t>
          </m:r>
          <m:r>
            <m:t>t</m:t>
          </m:r>
          <m:r>
            <m:rPr>
              <m:sty m:val="p"/>
            </m:rPr>
            <m:t>)</m:t>
          </m:r>
          <m:r>
            <m:rPr>
              <m:sty m:val="p"/>
            </m:rPr>
            <m:t>+</m:t>
          </m:r>
          <m:sSub>
            <m:e>
              <m:r>
                <m:t>y</m:t>
              </m:r>
            </m:e>
            <m:sub>
              <m:r>
                <m:rPr>
                  <m:sty m:val="p"/>
                </m:rPr>
                <m:t>−</m:t>
              </m:r>
            </m:sub>
          </m:sSub>
          <m:r>
            <m:rPr>
              <m:sty m:val="p"/>
            </m:rPr>
            <m:t>(</m:t>
          </m:r>
          <m:r>
            <m:t>t</m:t>
          </m:r>
          <m:r>
            <m:rPr>
              <m:sty m:val="p"/>
            </m:rPr>
            <m:t>)</m:t>
          </m:r>
        </m:oMath>
      </m:oMathPara>
    </w:p>
    <w:p>
      <w:pPr>
        <w:pStyle w:val="FirstParagraph"/>
      </w:pPr>
      <w:r>
        <w:t xml:space="preserve">where</w:t>
      </w:r>
    </w:p>
    <w:p>
      <w:pPr>
        <w:pStyle w:val="BodyText"/>
      </w:pPr>
      <m:oMathPara>
        <m:oMathParaPr>
          <m:jc m:val="center"/>
        </m:oMathParaPr>
        <m:oMath>
          <m:eqArr>
            <m:e>
              <m:sSub>
                <m:e>
                  <m:r>
                    <m:t>y</m:t>
                  </m:r>
                </m:e>
                <m:sub>
                  <m:r>
                    <m:rPr>
                      <m:sty m:val="p"/>
                    </m:rPr>
                    <m:t>+</m:t>
                  </m:r>
                </m:sub>
              </m:sSub>
              <m:r>
                <m:rPr>
                  <m:sty m:val="p"/>
                </m:rPr>
                <m:t>(</m:t>
              </m:r>
              <m:r>
                <m:t>t</m:t>
              </m:r>
              <m:r>
                <m:rPr>
                  <m:sty m:val="p"/>
                </m:rPr>
                <m:t>)</m:t>
              </m:r>
              <m:r>
                <m:t>&amp;</m:t>
              </m:r>
              <m:r>
                <m:rPr>
                  <m:sty m:val="p"/>
                </m:rPr>
                <m:t>=</m:t>
              </m:r>
              <m:sSub>
                <m:e>
                  <m:r>
                    <m:t>y</m:t>
                  </m:r>
                </m:e>
                <m:sub>
                  <m:r>
                    <m:t>0</m:t>
                  </m:r>
                </m:sub>
              </m:sSub>
              <m:sSup>
                <m:e>
                  <m:r>
                    <m:rPr>
                      <m:nor/>
                      <m:sty m:val="p"/>
                    </m:rPr>
                    <m:t>e</m:t>
                  </m:r>
                </m:e>
                <m:sup>
                  <m:r>
                    <m:t>μ</m:t>
                  </m:r>
                  <m:r>
                    <m:t>t</m:t>
                  </m:r>
                </m:sup>
              </m:sSup>
              <m:r>
                <m:rPr>
                  <m:sty m:val="p"/>
                </m:rPr>
                <m:t>[</m:t>
              </m:r>
              <m:r>
                <m:t>0</m:t>
              </m:r>
              <m:r>
                <m:rPr>
                  <m:sty m:val="p"/>
                </m:rPr>
                <m:t>≤</m:t>
              </m:r>
              <m:r>
                <m:t>t</m:t>
              </m:r>
              <m:r>
                <m:rPr>
                  <m:sty m:val="p"/>
                </m:rPr>
                <m:t>&lt;</m:t>
              </m:r>
              <m:sSub>
                <m:e>
                  <m:r>
                    <m:t>t</m:t>
                  </m:r>
                </m:e>
                <m:sub>
                  <m:r>
                    <m:t>1</m:t>
                  </m:r>
                </m:sub>
              </m:sSub>
              <m:r>
                <m:rPr>
                  <m:sty m:val="p"/>
                </m:rPr>
                <m:t>]</m:t>
              </m:r>
            </m:e>
            <m:e>
              <m:sSub>
                <m:e>
                  <m:r>
                    <m:t>y</m:t>
                  </m:r>
                </m:e>
                <m:sub>
                  <m:r>
                    <m:rPr>
                      <m:sty m:val="p"/>
                    </m:rPr>
                    <m:t>−</m:t>
                  </m:r>
                </m:sub>
              </m:sSub>
              <m:r>
                <m:rPr>
                  <m:sty m:val="p"/>
                </m:rPr>
                <m:t>(</m:t>
              </m:r>
              <m:r>
                <m:t>t</m:t>
              </m:r>
              <m:r>
                <m:rPr>
                  <m:sty m:val="p"/>
                </m:rPr>
                <m:t>)</m:t>
              </m:r>
              <m:r>
                <m:t>&amp;</m:t>
              </m:r>
              <m:r>
                <m:rPr>
                  <m:sty m:val="p"/>
                </m:rPr>
                <m:t>=</m:t>
              </m:r>
              <m:sSub>
                <m:e>
                  <m:r>
                    <m:t>y</m:t>
                  </m:r>
                </m:e>
                <m:sub>
                  <m:r>
                    <m:t>1</m:t>
                  </m:r>
                </m:sub>
              </m:sSub>
              <m:sSup>
                <m:e>
                  <m:d>
                    <m:dPr>
                      <m:begChr m:val="("/>
                      <m:sepChr m:val=""/>
                      <m:endChr m:val=")"/>
                      <m:grow/>
                    </m:dPr>
                    <m:e>
                      <m:r>
                        <m:t>1</m:t>
                      </m:r>
                      <m:r>
                        <m:rPr>
                          <m:sty m:val="p"/>
                        </m:rPr>
                        <m:t>+</m:t>
                      </m:r>
                      <m:r>
                        <m:rPr>
                          <m:sty m:val="p"/>
                        </m:rPr>
                        <m:t>(</m:t>
                      </m:r>
                      <m:r>
                        <m:t>r</m:t>
                      </m:r>
                      <m:r>
                        <m:rPr>
                          <m:sty m:val="p"/>
                        </m:rPr>
                        <m:t>−</m:t>
                      </m:r>
                      <m:r>
                        <m:t>1</m:t>
                      </m:r>
                      <m:r>
                        <m:rPr>
                          <m:sty m:val="p"/>
                        </m:rPr>
                        <m:t>)</m:t>
                      </m:r>
                      <m:sSubSup>
                        <m:e>
                          <m:r>
                            <m:t>y</m:t>
                          </m:r>
                        </m:e>
                        <m:sub>
                          <m:r>
                            <m:t>1</m:t>
                          </m:r>
                        </m:sub>
                        <m:sup>
                          <m:r>
                            <m:t>r</m:t>
                          </m:r>
                          <m:r>
                            <m:rPr>
                              <m:sty m:val="p"/>
                            </m:rPr>
                            <m:t>−</m:t>
                          </m:r>
                          <m:r>
                            <m:t>1</m:t>
                          </m:r>
                        </m:sup>
                      </m:sSubSup>
                      <m:r>
                        <m:t>α</m:t>
                      </m:r>
                      <m:r>
                        <m:rPr>
                          <m:sty m:val="p"/>
                        </m:rPr>
                        <m:t>(</m:t>
                      </m:r>
                      <m:r>
                        <m:t>t</m:t>
                      </m:r>
                      <m:r>
                        <m:rPr>
                          <m:sty m:val="p"/>
                        </m:rPr>
                        <m:t>−</m:t>
                      </m:r>
                      <m:sSub>
                        <m:e>
                          <m:r>
                            <m:t>t</m:t>
                          </m:r>
                        </m:e>
                        <m:sub>
                          <m:r>
                            <m:t>1</m:t>
                          </m:r>
                        </m:sub>
                      </m:sSub>
                      <m:r>
                        <m:rPr>
                          <m:sty m:val="p"/>
                        </m:rPr>
                        <m:t>)</m:t>
                      </m:r>
                    </m:e>
                  </m:d>
                </m:e>
                <m:sup>
                  <m:r>
                    <m:rPr>
                      <m:sty m:val="p"/>
                    </m:rPr>
                    <m:t>−</m:t>
                  </m:r>
                  <m:f>
                    <m:fPr>
                      <m:type m:val="bar"/>
                    </m:fPr>
                    <m:num>
                      <m:r>
                        <m:t>1</m:t>
                      </m:r>
                    </m:num>
                    <m:den>
                      <m:r>
                        <m:t>r</m:t>
                      </m:r>
                      <m:r>
                        <m:rPr>
                          <m:sty m:val="p"/>
                        </m:rPr>
                        <m:t>−</m:t>
                      </m:r>
                      <m:r>
                        <m:t>1</m:t>
                      </m:r>
                    </m:den>
                  </m:f>
                </m:sup>
              </m:sSup>
              <m:r>
                <m:rPr>
                  <m:sty m:val="p"/>
                </m:rPr>
                <m:t>[</m:t>
              </m:r>
              <m:sSub>
                <m:e>
                  <m:r>
                    <m:t>t</m:t>
                  </m:r>
                </m:e>
                <m:sub>
                  <m:r>
                    <m:t>1</m:t>
                  </m:r>
                </m:sub>
              </m:sSub>
              <m:r>
                <m:rPr>
                  <m:sty m:val="p"/>
                </m:rPr>
                <m:t>≤</m:t>
              </m:r>
              <m:r>
                <m:t>t</m:t>
              </m:r>
              <m:r>
                <m:rPr>
                  <m:sty m:val="p"/>
                </m:rPr>
                <m:t>&lt;</m:t>
              </m:r>
              <m:r>
                <m:rPr>
                  <m:sty m:val="p"/>
                </m:rPr>
                <m:t>∞</m:t>
              </m:r>
              <m:r>
                <m:rPr>
                  <m:sty m:val="p"/>
                </m:rPr>
                <m:t>]</m:t>
              </m:r>
            </m:e>
          </m:eqArr>
        </m:oMath>
      </m:oMathPara>
    </w:p>
    <w:bookmarkEnd w:id="80"/>
    <w:bookmarkStart w:id="81" w:name="growth-rate-from-peak-and-baseline"/>
    <w:p>
      <w:pPr>
        <w:pStyle w:val="Heading2"/>
      </w:pPr>
      <w:r>
        <w:t xml:space="preserve">5.4 Growth rate from peak and baseline</w:t>
      </w:r>
    </w:p>
    <w:p>
      <w:pPr>
        <w:pStyle w:val="FirstParagraph"/>
      </w:pPr>
      <w:r>
        <w:t xml:space="preserve">Since the peak level is</w:t>
      </w:r>
      <w:r>
        <w:t xml:space="preserve"> </w:t>
      </w:r>
      <m:oMath>
        <m:sSub>
          <m:e>
            <m:r>
              <m:t>y</m:t>
            </m:r>
          </m:e>
          <m:sub>
            <m:r>
              <m:t>1</m:t>
            </m:r>
          </m:sub>
        </m:sSub>
        <m:r>
          <m:rPr>
            <m:sty m:val="p"/>
          </m:rPr>
          <m:t>=</m:t>
        </m:r>
        <m:sSub>
          <m:e>
            <m:r>
              <m:t>y</m:t>
            </m:r>
          </m:e>
          <m:sub>
            <m:r>
              <m:t>0</m:t>
            </m:r>
          </m:sub>
        </m:sSub>
        <m:sSup>
          <m:e>
            <m:r>
              <m:rPr>
                <m:nor/>
                <m:sty m:val="p"/>
              </m:rPr>
              <m:t>e</m:t>
            </m:r>
          </m:e>
          <m:sup>
            <m:r>
              <m:t>μ</m:t>
            </m:r>
            <m:sSub>
              <m:e>
                <m:r>
                  <m:t>t</m:t>
                </m:r>
              </m:e>
              <m:sub>
                <m:r>
                  <m:t>1</m:t>
                </m:r>
              </m:sub>
            </m:sSub>
          </m:sup>
        </m:sSup>
      </m:oMath>
      <w:r>
        <w:t xml:space="preserve"> </w:t>
      </w:r>
      <w:r>
        <w:t xml:space="preserve">the growth rate</w:t>
      </w:r>
      <w:r>
        <w:t xml:space="preserve"> </w:t>
      </w:r>
      <m:oMath>
        <m:r>
          <m:t>μ</m:t>
        </m:r>
      </m:oMath>
      <w:r>
        <w:t xml:space="preserve"> </w:t>
      </w:r>
      <w:r>
        <w:t xml:space="preserve">can be written as</w:t>
      </w:r>
    </w:p>
    <w:p>
      <w:pPr>
        <w:pStyle w:val="BodyText"/>
      </w:pPr>
      <m:oMathPara>
        <m:oMathParaPr>
          <m:jc m:val="center"/>
        </m:oMathParaPr>
        <m:oMath>
          <m:r>
            <m:t>μ</m:t>
          </m:r>
          <m:r>
            <m:rPr>
              <m:sty m:val="p"/>
            </m:rPr>
            <m:t>=</m:t>
          </m:r>
          <m:f>
            <m:fPr>
              <m:type m:val="bar"/>
            </m:fPr>
            <m:num>
              <m:r>
                <m:t>1</m:t>
              </m:r>
            </m:num>
            <m:den>
              <m:sSub>
                <m:e>
                  <m:r>
                    <m:t>t</m:t>
                  </m:r>
                </m:e>
                <m:sub>
                  <m:r>
                    <m:t>1</m:t>
                  </m:r>
                </m:sub>
              </m:sSub>
            </m:den>
          </m:f>
          <m:r>
            <m:rPr>
              <m:sty m:val="p"/>
            </m:rPr>
            <m:t>log</m:t>
          </m:r>
          <m:d>
            <m:dPr>
              <m:begChr m:val="("/>
              <m:sepChr m:val=""/>
              <m:endChr m:val=")"/>
              <m:grow/>
            </m:dPr>
            <m:e>
              <m:f>
                <m:fPr>
                  <m:type m:val="bar"/>
                </m:fPr>
                <m:num>
                  <m:sSub>
                    <m:e>
                      <m:r>
                        <m:t>y</m:t>
                      </m:r>
                    </m:e>
                    <m:sub>
                      <m:r>
                        <m:t>1</m:t>
                      </m:r>
                    </m:sub>
                  </m:sSub>
                </m:num>
                <m:den>
                  <m:sSub>
                    <m:e>
                      <m:r>
                        <m:t>y</m:t>
                      </m:r>
                    </m:e>
                    <m:sub>
                      <m:r>
                        <m:t>0</m:t>
                      </m:r>
                    </m:sub>
                  </m:sSub>
                </m:den>
              </m:f>
            </m:e>
          </m:d>
        </m:oMath>
      </m:oMathPara>
    </w:p>
    <w:bookmarkEnd w:id="81"/>
    <w:bookmarkStart w:id="90" w:name="X1d3fcc2a0784af059ab166838ee8827eace4ccf"/>
    <w:p>
      <w:pPr>
        <w:pStyle w:val="Heading2"/>
      </w:pPr>
      <w:r>
        <w:t xml:space="preserve">5.5 From the full model to the observed curve</w:t>
      </w:r>
    </w:p>
    <w:p>
      <w:pPr>
        <w:pStyle w:val="FirstParagraph"/>
      </w:pPr>
      <w:r>
        <w:t xml:space="preserve">The antibody curve</w:t>
      </w:r>
      <w:r>
        <w:t xml:space="preserve"> </w:t>
      </w:r>
      <m:oMath>
        <m:r>
          <m:t>y</m:t>
        </m:r>
        <m:r>
          <m:rPr>
            <m:sty m:val="p"/>
          </m:rPr>
          <m:t>(</m:t>
        </m:r>
        <m:r>
          <m:t>t</m:t>
        </m:r>
        <m:r>
          <m:rPr>
            <m:sty m:val="p"/>
          </m:rPr>
          <m:t>)</m:t>
        </m:r>
      </m:oMath>
      <w:r>
        <w:t xml:space="preserve"> </w:t>
      </w:r>
      <w:r>
        <w:t xml:space="preserve">that we observe and plot falls out of the</w:t>
      </w:r>
      <w:r>
        <w:t xml:space="preserve"> </w:t>
      </w:r>
      <w:r>
        <w:t xml:space="preserve">two-phase system as follows:</w:t>
      </w:r>
    </w:p>
    <w:p>
      <w:pPr>
        <w:numPr>
          <w:ilvl w:val="0"/>
          <w:numId w:val="1031"/>
        </w:numPr>
      </w:pPr>
      <w:r>
        <w:rPr>
          <w:b/>
          <w:bCs/>
        </w:rPr>
        <w:t xml:space="preserve">During infection</w:t>
      </w:r>
      <w:r>
        <w:t xml:space="preserve"> </w:t>
      </w:r>
      <w:r>
        <w:t xml:space="preserve">(</w:t>
      </w:r>
      <m:oMath>
        <m:r>
          <m:t>t</m:t>
        </m:r>
        <m:r>
          <m:rPr>
            <m:sty m:val="p"/>
          </m:rPr>
          <m:t>&lt;</m:t>
        </m:r>
        <m:sSub>
          <m:e>
            <m:r>
              <m:t>t</m:t>
            </m:r>
          </m:e>
          <m:sub>
            <m:r>
              <m:t>1</m:t>
            </m:r>
          </m:sub>
        </m:sSub>
      </m:oMath>
      <w:r>
        <w:t xml:space="preserve">): the antibody equation</w:t>
      </w:r>
      <w:r>
        <w:t xml:space="preserve"> </w:t>
      </w: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w:r>
        <w:t xml:space="preserve"> </w:t>
      </w:r>
      <w:r>
        <w:t xml:space="preserve">gives exponential growth,</w:t>
      </w:r>
      <w:r>
        <w:t xml:space="preserve"> </w:t>
      </w:r>
      <m:oMath>
        <m:r>
          <m:t>y</m:t>
        </m:r>
        <m:r>
          <m:rPr>
            <m:sty m:val="p"/>
          </m:rPr>
          <m:t>(</m:t>
        </m:r>
        <m:r>
          <m:t>t</m:t>
        </m:r>
        <m:r>
          <m:rPr>
            <m:sty m:val="p"/>
          </m:rPr>
          <m:t>)</m:t>
        </m:r>
        <m:r>
          <m:rPr>
            <m:sty m:val="p"/>
          </m:rPr>
          <m:t>=</m:t>
        </m:r>
        <m:sSub>
          <m:e>
            <m:r>
              <m:t>y</m:t>
            </m:r>
          </m:e>
          <m:sub>
            <m:r>
              <m:t>0</m:t>
            </m:r>
          </m:sub>
        </m:sSub>
        <m:r>
          <m:t> </m:t>
        </m:r>
        <m:sSup>
          <m:e>
            <m:r>
              <m:t>e</m:t>
            </m:r>
          </m:e>
          <m:sup>
            <m:r>
              <m:t>μ</m:t>
            </m:r>
            <m:r>
              <m:t>t</m:t>
            </m:r>
          </m:sup>
        </m:sSup>
      </m:oMath>
      <w:r>
        <w:t xml:space="preserve">.</w:t>
      </w:r>
    </w:p>
    <w:p>
      <w:pPr>
        <w:numPr>
          <w:ilvl w:val="0"/>
          <w:numId w:val="1031"/>
        </w:numPr>
      </w:pPr>
      <w:r>
        <w:t xml:space="preserve">The</w:t>
      </w:r>
      <w:r>
        <w:t xml:space="preserve"> </w:t>
      </w:r>
      <w:r>
        <w:rPr>
          <w:b/>
          <w:bCs/>
        </w:rPr>
        <w:t xml:space="preserve">pathogen equation sets the peak time</w:t>
      </w:r>
      <w:r>
        <w:t xml:space="preserve"> </w:t>
      </w:r>
      <m:oMath>
        <m:sSub>
          <m:e>
            <m:r>
              <m:t>t</m:t>
            </m:r>
          </m:e>
          <m:sub>
            <m:r>
              <m:t>1</m:t>
            </m:r>
          </m:sub>
        </m:sSub>
      </m:oMath>
      <w:r>
        <w:t xml:space="preserve">: circulating</w:t>
      </w:r>
      <w:r>
        <w:t xml:space="preserve"> </w:t>
      </w:r>
      <w:r>
        <w:t xml:space="preserve">antibodies inactivate the pathogen (the</w:t>
      </w:r>
      <w:r>
        <w:t xml:space="preserve"> </w:t>
      </w:r>
      <m:oMath>
        <m:r>
          <m:rPr>
            <m:sty m:val="p"/>
          </m:rPr>
          <m:t>−</m:t>
        </m:r>
        <m:r>
          <m:t>β</m:t>
        </m:r>
        <m:r>
          <m:t>y</m:t>
        </m:r>
        <m:r>
          <m:rPr>
            <m:sty m:val="p"/>
          </m:rPr>
          <m:t>(</m:t>
        </m:r>
        <m:r>
          <m:t>t</m:t>
        </m:r>
        <m:r>
          <m:rPr>
            <m:sty m:val="p"/>
          </m:rPr>
          <m:t>)</m:t>
        </m:r>
      </m:oMath>
      <w:r>
        <w:t xml:space="preserve"> </w:t>
      </w:r>
      <w:r>
        <w:t xml:space="preserve">term), driving</w:t>
      </w:r>
      <w:r>
        <w:t xml:space="preserve"> </w:t>
      </w:r>
      <m:oMath>
        <m:r>
          <m:t>x</m:t>
        </m:r>
        <m:r>
          <m:rPr>
            <m:sty m:val="p"/>
          </m:rPr>
          <m:t>(</m:t>
        </m:r>
        <m:r>
          <m:t>t</m:t>
        </m:r>
        <m:r>
          <m:rPr>
            <m:sty m:val="p"/>
          </m:rPr>
          <m:t>)</m:t>
        </m:r>
      </m:oMath>
      <w:r>
        <w:t xml:space="preserve"> </w:t>
      </w:r>
      <w:r>
        <w:t xml:space="preserve">to zero at</w:t>
      </w:r>
      <w:r>
        <w:t xml:space="preserve"> </w:t>
      </w:r>
      <m:oMath>
        <m:sSub>
          <m:e>
            <m:r>
              <m:t>t</m:t>
            </m:r>
          </m:e>
          <m:sub>
            <m:r>
              <m:t>1</m:t>
            </m:r>
          </m:sub>
        </m:sSub>
      </m:oMath>
      <w:r>
        <w:t xml:space="preserve">. Once the pathogen is cleared, stimulation stops and decay</w:t>
      </w:r>
      <w:r>
        <w:t xml:space="preserve"> </w:t>
      </w:r>
      <w:r>
        <w:t xml:space="preserve">begins, so the peak antibody level is</w:t>
      </w:r>
      <w:r>
        <w:t xml:space="preserve"> </w:t>
      </w:r>
      <m:oMath>
        <m:sSub>
          <m:e>
            <m:r>
              <m:t>y</m:t>
            </m:r>
          </m:e>
          <m:sub>
            <m:r>
              <m:t>1</m:t>
            </m:r>
          </m:sub>
        </m:sSub>
        <m:r>
          <m:rPr>
            <m:sty m:val="p"/>
          </m:rPr>
          <m:t>=</m:t>
        </m:r>
        <m:sSub>
          <m:e>
            <m:r>
              <m:t>y</m:t>
            </m:r>
          </m:e>
          <m:sub>
            <m:r>
              <m:t>0</m:t>
            </m:r>
          </m:sub>
        </m:sSub>
        <m:r>
          <m:t> </m:t>
        </m:r>
        <m:sSup>
          <m:e>
            <m:r>
              <m:t>e</m:t>
            </m:r>
          </m:e>
          <m:sup>
            <m:r>
              <m:t>μ</m:t>
            </m:r>
            <m:sSub>
              <m:e>
                <m:r>
                  <m:t>t</m:t>
                </m:r>
              </m:e>
              <m:sub>
                <m:r>
                  <m:t>1</m:t>
                </m:r>
              </m:sub>
            </m:sSub>
          </m:sup>
        </m:sSup>
      </m:oMath>
      <w:r>
        <w:t xml:space="preserve">.</w:t>
      </w:r>
    </w:p>
    <w:p>
      <w:pPr>
        <w:numPr>
          <w:ilvl w:val="0"/>
          <w:numId w:val="1031"/>
        </w:numPr>
      </w:pPr>
      <w:r>
        <w:rPr>
          <w:b/>
          <w:bCs/>
        </w:rPr>
        <w:t xml:space="preserve">After the peak</w:t>
      </w:r>
      <w:r>
        <w:t xml:space="preserve"> </w:t>
      </w:r>
      <w:r>
        <w:t xml:space="preserve">(</w:t>
      </w:r>
      <m:oMath>
        <m:r>
          <m:t>t</m:t>
        </m:r>
        <m:r>
          <m:rPr>
            <m:sty m:val="p"/>
          </m:rPr>
          <m:t>≥</m:t>
        </m:r>
        <m:sSub>
          <m:e>
            <m:r>
              <m:t>t</m:t>
            </m:r>
          </m:e>
          <m:sub>
            <m:r>
              <m:t>1</m:t>
            </m:r>
          </m:sub>
        </m:sSub>
      </m:oMath>
      <w:r>
        <w:t xml:space="preserve">): power-law decay,</w:t>
      </w:r>
      <w:r>
        <w:t xml:space="preserve"> </w:t>
      </w: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w:r>
        <w:t xml:space="preserve">.</w:t>
      </w:r>
    </w:p>
    <w:p>
      <w:pPr>
        <w:pStyle w:val="FirstParagraph"/>
      </w:pPr>
      <w:r>
        <w:t xml:space="preserve">So the pathogen trajectory</w:t>
      </w:r>
      <w:r>
        <w:t xml:space="preserve"> </w:t>
      </w:r>
      <m:oMath>
        <m:r>
          <m:t>x</m:t>
        </m:r>
        <m:r>
          <m:rPr>
            <m:sty m:val="p"/>
          </m:rPr>
          <m:t>(</m:t>
        </m:r>
        <m:r>
          <m:t>t</m:t>
        </m:r>
        <m:r>
          <m:rPr>
            <m:sty m:val="p"/>
          </m:rPr>
          <m:t>)</m:t>
        </m:r>
      </m:oMath>
      <w:r>
        <w:t xml:space="preserve"> </w:t>
      </w:r>
      <w:r>
        <w:t xml:space="preserve">never appears in the final antibody curve</w:t>
      </w:r>
      <w:r>
        <w:t xml:space="preserve"> </w:t>
      </w:r>
      <w:r>
        <w:t xml:space="preserve">— it enters only through the peak time</w:t>
      </w:r>
      <w:r>
        <w:t xml:space="preserve"> </w:t>
      </w:r>
      <m:oMath>
        <m:sSub>
          <m:e>
            <m:r>
              <m:t>t</m:t>
            </m:r>
          </m:e>
          <m:sub>
            <m:r>
              <m:t>1</m:t>
            </m:r>
          </m:sub>
        </m:sSub>
      </m:oMath>
      <w:r>
        <w:t xml:space="preserve">. From antibody data alone</w:t>
      </w:r>
      <w:r>
        <w:t xml:space="preserve"> </w:t>
      </w:r>
      <w:r>
        <w:t xml:space="preserve">the pathogen-side quantities (</w:t>
      </w:r>
      <m:oMath>
        <m:sSub>
          <m:e>
            <m:r>
              <m:t>μ</m:t>
            </m:r>
          </m:e>
          <m:sub>
            <m:r>
              <m:t>0</m:t>
            </m:r>
          </m:sub>
        </m:sSub>
      </m:oMath>
      <w:r>
        <w:t xml:space="preserve">,</w:t>
      </w:r>
      <w:r>
        <w:t xml:space="preserve"> </w:t>
      </w:r>
      <m:oMath>
        <m:r>
          <m:t>β</m:t>
        </m:r>
      </m:oMath>
      <w:r>
        <w:t xml:space="preserve">, and the inoculum</w:t>
      </w:r>
      <w:r>
        <w:t xml:space="preserve"> </w:t>
      </w:r>
      <m:oMath>
        <m:sSub>
          <m:e>
            <m:r>
              <m:t>x</m:t>
            </m:r>
          </m:e>
          <m:sub>
            <m:r>
              <m:t>0</m:t>
            </m:r>
          </m:sub>
        </m:sSub>
      </m:oMath>
      <w:r>
        <w:t xml:space="preserve">) are</w:t>
      </w:r>
      <w:r>
        <w:t xml:space="preserve"> </w:t>
      </w:r>
      <w:r>
        <w:t xml:space="preserve">not separately identifiable</w:t>
      </w:r>
      <w:r>
        <w:t xml:space="preserve"> </w:t>
      </w:r>
      <w:r>
        <w:t xml:space="preserve">(Teunis et al. 2016)</w:t>
      </w:r>
      <w:r>
        <w:t xml:space="preserve">, so the curve is summarized by</w:t>
      </w:r>
      <w:r>
        <w:t xml:space="preserve"> </w:t>
      </w:r>
      <w:r>
        <w:t xml:space="preserve">five parameters:</w:t>
      </w:r>
      <w:r>
        <w:t xml:space="preserve"> </w:t>
      </w:r>
      <m:oMath>
        <m:sSub>
          <m:e>
            <m:r>
              <m:t>y</m:t>
            </m:r>
          </m:e>
          <m:sub>
            <m:r>
              <m:t>0</m:t>
            </m:r>
          </m:sub>
        </m:sSub>
        <m:r>
          <m:rPr>
            <m:sty m:val="p"/>
          </m:rPr>
          <m:t>,</m:t>
        </m:r>
        <m:r>
          <m:t> </m:t>
        </m:r>
        <m:sSub>
          <m:e>
            <m:r>
              <m:t>y</m:t>
            </m:r>
          </m:e>
          <m:sub>
            <m:r>
              <m:t>1</m:t>
            </m:r>
          </m:sub>
        </m:sSub>
        <m:r>
          <m:rPr>
            <m:sty m:val="p"/>
          </m:rPr>
          <m:t>,</m:t>
        </m:r>
        <m:r>
          <m:t> </m:t>
        </m:r>
        <m:sSub>
          <m:e>
            <m:r>
              <m:t>t</m:t>
            </m:r>
          </m:e>
          <m:sub>
            <m:r>
              <m:t>1</m:t>
            </m:r>
          </m:sub>
        </m:sSub>
        <m:r>
          <m:rPr>
            <m:sty m:val="p"/>
          </m:rPr>
          <m:t>,</m:t>
        </m:r>
        <m:r>
          <m:t> </m:t>
        </m:r>
        <m:r>
          <m:t>α</m:t>
        </m:r>
        <m:r>
          <m:rPr>
            <m:sty m:val="p"/>
          </m:rPr>
          <m:t>,</m:t>
        </m:r>
        <m:r>
          <m:t> </m:t>
        </m:r>
        <m:r>
          <m:t>r</m:t>
        </m:r>
      </m:oMath>
      <w:r>
        <w:t xml:space="preserve">.</w:t>
      </w:r>
    </w:p>
    <w:p>
      <w:r>
        <w:pict>
          <v:rect style="width:0;height:1.5pt" o:hralign="center" o:hrstd="t" o:hr="t"/>
        </w:pic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(dplyr)</w:t>
      </w:r>
      <w:r>
        <w:br/>
      </w:r>
      <w:r>
        <w:rPr>
          <w:rStyle w:val="FunctionTok"/>
        </w:rPr>
        <w:t xml:space="preserve">library</w:t>
      </w:r>
      <w:r>
        <w:rPr>
          <w:rStyle w:val="NormalTok"/>
        </w:rPr>
        <w:t xml:space="preserve">(ggplot2)</w:t>
      </w:r>
      <w:r>
        <w:br/>
      </w:r>
      <w:r>
        <w:br/>
      </w:r>
      <w:r>
        <w:rPr>
          <w:rStyle w:val="NormalTok"/>
        </w:rPr>
        <w:t xml:space="preserve">cur_ai </w:t>
      </w:r>
      <w:r>
        <w:rPr>
          <w:rStyle w:val="OtherTok"/>
        </w:rPr>
        <w:t xml:space="preserve">&lt;-</w:t>
      </w:r>
      <w:r>
        <w:rPr>
          <w:rStyle w:val="NormalTok"/>
        </w:rPr>
        <w:t xml:space="preserve"> </w:t>
      </w:r>
      <w:r>
        <w:rPr>
          <w:rStyle w:val="StringTok"/>
        </w:rPr>
        <w:t xml:space="preserve">"HlyE_IgG"</w:t>
      </w:r>
      <w:r>
        <w:br/>
      </w:r>
      <w:r>
        <w:br/>
      </w:r>
      <w:r>
        <w:rPr>
          <w:rStyle w:val="CommentTok"/>
        </w:rPr>
        <w:t xml:space="preserve"># Import longitudinal antibody parameters from OSF.</w:t>
      </w:r>
      <w:r>
        <w:br/>
      </w:r>
      <w:r>
        <w:rPr>
          <w:rStyle w:val="CommentTok"/>
        </w:rPr>
        <w:t xml:space="preserve"># Deliberately named `curves_all`, not `curves`: this file is included into</w:t>
      </w:r>
      <w:r>
        <w:br/>
      </w:r>
      <w:r>
        <w:rPr>
          <w:rStyle w:val="CommentTok"/>
        </w:rPr>
        <w:t xml:space="preserve"># methodology.qmd, which already defines a `curves` object filtered to the</w:t>
      </w:r>
      <w:r>
        <w:br/>
      </w:r>
      <w:r>
        <w:rPr>
          <w:rStyle w:val="CommentTok"/>
        </w:rPr>
        <w:t xml:space="preserve"># antigen-isotypes that document analyzes. Reusing that name here would silently</w:t>
      </w:r>
      <w:r>
        <w:br/>
      </w:r>
      <w:r>
        <w:rPr>
          <w:rStyle w:val="CommentTok"/>
        </w:rPr>
        <w:t xml:space="preserve"># overwrite it for every later chunk in the parent document.</w:t>
      </w:r>
      <w:r>
        <w:br/>
      </w:r>
      <w:r>
        <w:rPr>
          <w:rStyle w:val="NormalTok"/>
        </w:rPr>
        <w:t xml:space="preserve">curves_all </w:t>
      </w:r>
      <w:r>
        <w:rPr>
          <w:rStyle w:val="OtherTok"/>
        </w:rPr>
        <w:t xml:space="preserve">&lt;-</w:t>
      </w:r>
      <w:r>
        <w:br/>
      </w:r>
      <w:r>
        <w:rPr>
          <w:rStyle w:val="NormalTok"/>
        </w:rPr>
        <w:t xml:space="preserve">  </w:t>
      </w:r>
      <w:r>
        <w:rPr>
          <w:rStyle w:val="StringTok"/>
        </w:rPr>
        <w:t xml:space="preserve">"https://osf.io/download/rtw5k/"</w:t>
      </w:r>
      <w:r>
        <w:rPr>
          <w:rStyle w:val="NormalTok"/>
        </w:rPr>
        <w:t xml:space="preserve"> </w:t>
      </w:r>
      <w:r>
        <w:rPr>
          <w:rStyle w:val="SpecialCharTok"/>
        </w:rPr>
        <w:t xml:space="preserve">|&gt;</w:t>
      </w:r>
      <w:r>
        <w:br/>
      </w:r>
      <w:r>
        <w:rPr>
          <w:rStyle w:val="NormalTok"/>
        </w:rPr>
        <w:t xml:space="preserve">  </w:t>
      </w:r>
      <w:r>
        <w:rPr>
          <w:rStyle w:val="FunctionTok"/>
        </w:rPr>
        <w:t xml:space="preserve">load_sr_params</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(iter </w:t>
      </w:r>
      <w:r>
        <w:rPr>
          <w:rStyle w:val="SpecialCharTok"/>
        </w:rPr>
        <w:t xml:space="preserve">&lt;</w:t>
      </w:r>
      <w:r>
        <w:rPr>
          <w:rStyle w:val="NormalTok"/>
        </w:rPr>
        <w:t xml:space="preserve"> </w:t>
      </w:r>
      <w:r>
        <w:rPr>
          <w:rStyle w:val="DecValTok"/>
        </w:rPr>
        <w:t xml:space="preserve">50</w:t>
      </w:r>
      <w:r>
        <w:rPr>
          <w:rStyle w:val="NormalTok"/>
        </w:rPr>
        <w:t xml:space="preserve">)</w:t>
      </w:r>
      <w:r>
        <w:br/>
      </w:r>
      <w:r>
        <w:br/>
      </w:r>
      <w:r>
        <w:rPr>
          <w:rStyle w:val="NormalTok"/>
        </w:rPr>
        <w:t xml:space="preserve">curve1 </w:t>
      </w:r>
      <w:r>
        <w:rPr>
          <w:rStyle w:val="OtherTok"/>
        </w:rPr>
        <w:t xml:space="preserve">&lt;-</w:t>
      </w:r>
      <w:r>
        <w:br/>
      </w:r>
      <w:r>
        <w:rPr>
          <w:rStyle w:val="NormalTok"/>
        </w:rPr>
        <w:t xml:space="preserve">  curves_all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iter </w:t>
      </w:r>
      <w:r>
        <w:rPr>
          <w:rStyle w:val="SpecialCharTok"/>
        </w:rPr>
        <w:t xml:space="preserve">==</w:t>
      </w:r>
      <w:r>
        <w:rPr>
          <w:rStyle w:val="NormalTok"/>
        </w:rPr>
        <w:t xml:space="preserve"> </w:t>
      </w:r>
      <w:r>
        <w:rPr>
          <w:rStyle w:val="DecValTok"/>
        </w:rPr>
        <w:t xml:space="preserve">5</w:t>
      </w:r>
      <w:r>
        <w:rPr>
          <w:rStyle w:val="NormalTok"/>
        </w:rPr>
        <w:t xml:space="preserve">,</w:t>
      </w:r>
      <w:r>
        <w:br/>
      </w:r>
      <w:r>
        <w:rPr>
          <w:rStyle w:val="NormalTok"/>
        </w:rPr>
        <w:t xml:space="preserve">    antigen_iso </w:t>
      </w:r>
      <w:r>
        <w:rPr>
          <w:rStyle w:val="SpecialCharTok"/>
        </w:rPr>
        <w:t xml:space="preserve">==</w:t>
      </w:r>
      <w:r>
        <w:rPr>
          <w:rStyle w:val="NormalTok"/>
        </w:rPr>
        <w:t xml:space="preserve"> cur_ai</w:t>
      </w:r>
      <w:r>
        <w:br/>
      </w:r>
      <w:r>
        <w:rPr>
          <w:rStyle w:val="NormalTok"/>
        </w:rPr>
        <w:t xml:space="preserve">  )</w:t>
      </w:r>
      <w:r>
        <w:br/>
      </w:r>
      <w:r>
        <w:br/>
      </w:r>
      <w:r>
        <w:rPr>
          <w:rStyle w:val="NormalTok"/>
        </w:rPr>
        <w:t xml:space="preserve">curve1 </w:t>
      </w:r>
      <w:r>
        <w:rPr>
          <w:rStyle w:val="SpecialCharTok"/>
        </w:rPr>
        <w:t xml:space="preserve">|&gt;</w:t>
      </w:r>
      <w:r>
        <w:br/>
      </w:r>
      <w:r>
        <w:rPr>
          <w:rStyle w:val="NormalTok"/>
        </w:rPr>
        <w:t xml:space="preserve">  </w:t>
      </w:r>
      <w:r>
        <w:rPr>
          <w:rStyle w:val="CommentTok"/>
        </w:rPr>
        <w:t xml:space="preserve"># plot_curve_params_one_ab() picks rows via `iter == seq_len(nrow(.))`, so a</w:t>
      </w:r>
      <w:r>
        <w:br/>
      </w:r>
      <w:r>
        <w:rPr>
          <w:rStyle w:val="NormalTok"/>
        </w:rPr>
        <w:t xml:space="preserve">  </w:t>
      </w:r>
      <w:r>
        <w:rPr>
          <w:rStyle w:val="CommentTok"/>
        </w:rPr>
        <w:t xml:space="preserve"># single pre-filtered curve must be relabelled iter 1 or no curve is drawn.</w:t>
      </w:r>
      <w:r>
        <w:br/>
      </w:r>
      <w:r>
        <w:rPr>
          <w:rStyle w:val="NormalTok"/>
        </w:rPr>
        <w:t xml:space="preserve">  </w:t>
      </w:r>
      <w:r>
        <w:rPr>
          <w:rStyle w:val="FunctionTok"/>
        </w:rPr>
        <w:t xml:space="preserve">mutate</w:t>
      </w:r>
      <w:r>
        <w:rPr>
          <w:rStyle w:val="NormalTok"/>
        </w:rPr>
        <w:t xml:space="preserve">(</w:t>
      </w:r>
      <w:r>
        <w:rPr>
          <w:rStyle w:val="AttributeTok"/>
        </w:rPr>
        <w:t xml:space="preserve">iter =</w:t>
      </w:r>
      <w:r>
        <w:rPr>
          <w:rStyle w:val="NormalTok"/>
        </w:rPr>
        <w:t xml:space="preserve"> </w:t>
      </w:r>
      <w:r>
        <w:rPr>
          <w:rStyle w:val="DecValTok"/>
        </w:rPr>
        <w:t xml:space="preserve">1</w:t>
      </w:r>
      <w:r>
        <w:rPr>
          <w:rStyle w:val="NormalTok"/>
        </w:rPr>
        <w:t xml:space="preserve">) </w:t>
      </w:r>
      <w:r>
        <w:rPr>
          <w:rStyle w:val="SpecialCharTok"/>
        </w:rPr>
        <w:t xml:space="preserve">|&gt;</w:t>
      </w:r>
      <w:r>
        <w:br/>
      </w:r>
      <w:r>
        <w:rPr>
          <w:rStyle w:val="NormalTok"/>
        </w:rPr>
        <w:t xml:space="preserve">  serocalculator</w:t>
      </w:r>
      <w:r>
        <w:rPr>
          <w:rStyle w:val="SpecialCharTok"/>
        </w:rPr>
        <w:t xml:space="preserve">:::</w:t>
      </w:r>
      <w:r>
        <w:rPr>
          <w:rStyle w:val="FunctionTok"/>
        </w:rPr>
        <w:t xml:space="preserve">plot_curve_params_one_ab</w:t>
      </w:r>
      <w:r>
        <w:rPr>
          <w:rStyle w:val="NormalTok"/>
        </w:rPr>
        <w:t xml:space="preserve">(</w:t>
      </w:r>
      <w:r>
        <w:br/>
      </w:r>
      <w:r>
        <w:rPr>
          <w:rStyle w:val="NormalTok"/>
        </w:rPr>
        <w:t xml:space="preserve">    </w:t>
      </w:r>
      <w:r>
        <w:rPr>
          <w:rStyle w:val="AttributeTok"/>
        </w:rPr>
        <w:t xml:space="preserve">log_y =</w:t>
      </w:r>
      <w:r>
        <w:rPr>
          <w:rStyle w:val="NormalTok"/>
        </w:rPr>
        <w:t xml:space="preserve"> </w:t>
      </w:r>
      <w:r>
        <w:rPr>
          <w:rStyle w:val="ConstantTok"/>
        </w:rPr>
        <w:t xml:space="preserve">FALSE</w:t>
      </w:r>
      <w:r>
        <w:br/>
      </w:r>
      <w:r>
        <w:rPr>
          <w:rStyle w:val="NormalTok"/>
        </w:rPr>
        <w:t xml:space="preserve">  ) </w:t>
      </w:r>
      <w:r>
        <w:rPr>
          <w:rStyle w:val="SpecialCharTok"/>
        </w:rPr>
        <w:t xml:space="preserve">+</w:t>
      </w:r>
      <w:r>
        <w:br/>
      </w:r>
      <w:r>
        <w:rPr>
          <w:rStyle w:val="NormalTok"/>
        </w:rPr>
        <w:t xml:space="preserve">  </w:t>
      </w:r>
      <w:r>
        <w:rPr>
          <w:rStyle w:val="FunctionTok"/>
        </w:rPr>
        <w:t xml:space="preserve">xlim</w:t>
      </w:r>
      <w:r>
        <w:rPr>
          <w:rStyle w:val="NormalTok"/>
        </w:rPr>
        <w:t xml:space="preserve">(</w:t>
      </w:r>
      <w:r>
        <w:rPr>
          <w:rStyle w:val="DecValTok"/>
        </w:rPr>
        <w:t xml:space="preserve">0</w:t>
      </w:r>
      <w:r>
        <w:rPr>
          <w:rStyle w:val="NormalTok"/>
        </w:rPr>
        <w:t xml:space="preserve">, </w:t>
      </w:r>
      <w:r>
        <w:rPr>
          <w:rStyle w:val="DecValTok"/>
        </w:rPr>
        <w:t xml:space="preserve">100</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xintercept =</w:t>
      </w:r>
      <w:r>
        <w:rPr>
          <w:rStyle w:val="NormalTok"/>
        </w:rPr>
        <w:t xml:space="preserve"> curve1</w:t>
      </w:r>
      <w:r>
        <w:rPr>
          <w:rStyle w:val="SpecialCharTok"/>
        </w:rPr>
        <w:t xml:space="preserve">$</w:t>
      </w:r>
      <w:r>
        <w:rPr>
          <w:rStyle w:val="NormalTok"/>
        </w:rPr>
        <w:t xml:space="preserve">t1,</w:t>
      </w:r>
      <w:r>
        <w:br/>
      </w:r>
      <w:r>
        <w:rPr>
          <w:rStyle w:val="NormalTok"/>
        </w:rPr>
        <w:t xml:space="preserve">      </w:t>
      </w:r>
      <w:r>
        <w:rPr>
          <w:rStyle w:val="AttributeTok"/>
        </w:rPr>
        <w:t xml:space="preserve">col =</w:t>
      </w:r>
      <w:r>
        <w:rPr>
          <w:rStyle w:val="NormalTok"/>
        </w:rPr>
        <w:t xml:space="preserve"> </w:t>
      </w:r>
      <w:r>
        <w:rPr>
          <w:rStyle w:val="StringTok"/>
        </w:rPr>
        <w:t xml:space="preserve">"t1"</w:t>
      </w:r>
      <w:r>
        <w:br/>
      </w:r>
      <w:r>
        <w:rPr>
          <w:rStyle w:val="NormalTok"/>
        </w:rPr>
        <w:t xml:space="preserve">    )</w:t>
      </w:r>
      <w:r>
        <w:br/>
      </w:r>
      <w:r>
        <w:rPr>
          <w:rStyle w:val="NormalTok"/>
        </w:rPr>
        <w:t xml:space="preserve">  ) </w:t>
      </w:r>
      <w:r>
        <w:rPr>
          <w:rStyle w:val="SpecialCharTok"/>
        </w:rPr>
        <w:t xml:space="preserve">+</w:t>
      </w:r>
      <w:r>
        <w:br/>
      </w:r>
      <w:r>
        <w:br/>
      </w:r>
      <w:r>
        <w:rPr>
          <w:rStyle w:val="NormalTok"/>
        </w:rPr>
        <w:t xml:space="preserve">  </w:t>
      </w:r>
      <w:r>
        <w:rPr>
          <w:rStyle w:val="FunctionTok"/>
        </w:rPr>
        <w:t xml:space="preserve">geom_hline</w:t>
      </w:r>
      <w:r>
        <w:rPr>
          <w:rStyle w:val="NormalTok"/>
        </w:rPr>
        <w:t xml:space="preserve">(</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yintercept =</w:t>
      </w:r>
      <w:r>
        <w:rPr>
          <w:rStyle w:val="NormalTok"/>
        </w:rPr>
        <w:t xml:space="preserve"> curve1</w:t>
      </w:r>
      <w:r>
        <w:rPr>
          <w:rStyle w:val="SpecialCharTok"/>
        </w:rPr>
        <w:t xml:space="preserve">$</w:t>
      </w:r>
      <w:r>
        <w:rPr>
          <w:rStyle w:val="NormalTok"/>
        </w:rPr>
        <w:t xml:space="preserve">y0,</w:t>
      </w:r>
      <w:r>
        <w:br/>
      </w:r>
      <w:r>
        <w:rPr>
          <w:rStyle w:val="NormalTok"/>
        </w:rPr>
        <w:t xml:space="preserve">      </w:t>
      </w:r>
      <w:r>
        <w:rPr>
          <w:rStyle w:val="AttributeTok"/>
        </w:rPr>
        <w:t xml:space="preserve">col =</w:t>
      </w:r>
      <w:r>
        <w:rPr>
          <w:rStyle w:val="NormalTok"/>
        </w:rPr>
        <w:t xml:space="preserve"> </w:t>
      </w:r>
      <w:r>
        <w:rPr>
          <w:rStyle w:val="StringTok"/>
        </w:rPr>
        <w:t xml:space="preserve">"y0"</w:t>
      </w:r>
      <w:r>
        <w:br/>
      </w:r>
      <w:r>
        <w:rPr>
          <w:rStyle w:val="NormalTok"/>
        </w:rPr>
        <w:t xml:space="preserve">    )</w:t>
      </w:r>
      <w:r>
        <w:br/>
      </w:r>
      <w:r>
        <w:rPr>
          <w:rStyle w:val="NormalTok"/>
        </w:rPr>
        <w:t xml:space="preserve">  ) </w:t>
      </w:r>
      <w:r>
        <w:rPr>
          <w:rStyle w:val="SpecialCharTok"/>
        </w:rPr>
        <w:t xml:space="preserve">+</w:t>
      </w:r>
      <w:r>
        <w:br/>
      </w:r>
      <w:r>
        <w:br/>
      </w:r>
      <w:r>
        <w:br/>
      </w:r>
      <w:r>
        <w:rPr>
          <w:rStyle w:val="NormalTok"/>
        </w:rPr>
        <w:t xml:space="preserve">  </w:t>
      </w:r>
      <w:r>
        <w:rPr>
          <w:rStyle w:val="FunctionTok"/>
        </w:rPr>
        <w:t xml:space="preserve">geom_hline</w:t>
      </w:r>
      <w:r>
        <w:rPr>
          <w:rStyle w:val="NormalTok"/>
        </w:rPr>
        <w:t xml:space="preserve">(</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yintercept =</w:t>
      </w:r>
      <w:r>
        <w:rPr>
          <w:rStyle w:val="NormalTok"/>
        </w:rPr>
        <w:t xml:space="preserve"> curve1</w:t>
      </w:r>
      <w:r>
        <w:rPr>
          <w:rStyle w:val="SpecialCharTok"/>
        </w:rPr>
        <w:t xml:space="preserve">$</w:t>
      </w:r>
      <w:r>
        <w:rPr>
          <w:rStyle w:val="NormalTok"/>
        </w:rPr>
        <w:t xml:space="preserve">y1,</w:t>
      </w:r>
      <w:r>
        <w:br/>
      </w:r>
      <w:r>
        <w:rPr>
          <w:rStyle w:val="NormalTok"/>
        </w:rPr>
        <w:t xml:space="preserve">      </w:t>
      </w:r>
      <w:r>
        <w:rPr>
          <w:rStyle w:val="AttributeTok"/>
        </w:rPr>
        <w:t xml:space="preserve">col =</w:t>
      </w:r>
      <w:r>
        <w:rPr>
          <w:rStyle w:val="NormalTok"/>
        </w:rPr>
        <w:t xml:space="preserve"> </w:t>
      </w:r>
      <w:r>
        <w:rPr>
          <w:rStyle w:val="StringTok"/>
        </w:rPr>
        <w:t xml:space="preserve">"y1"</w:t>
      </w:r>
      <w:r>
        <w:br/>
      </w:r>
      <w:r>
        <w:rPr>
          <w:rStyle w:val="NormalTok"/>
        </w:rPr>
        <w:t xml:space="preserve">    )</w:t>
      </w:r>
      <w:r>
        <w:br/>
      </w:r>
      <w:r>
        <w:rPr>
          <w:rStyle w:val="NormalTok"/>
        </w:rPr>
        <w:t xml:space="preserve">  ) </w:t>
      </w:r>
      <w:r>
        <w:rPr>
          <w:rStyle w:val="SpecialCharTok"/>
        </w:rPr>
        <w:t xml:space="preserve">+</w:t>
      </w:r>
      <w:r>
        <w:br/>
      </w:r>
      <w:r>
        <w:rPr>
          <w:rStyle w:val="NormalTok"/>
        </w:rPr>
        <w:t xml:space="preserve">  </w:t>
      </w:r>
      <w:r>
        <w:rPr>
          <w:rStyle w:val="FunctionTok"/>
        </w:rPr>
        <w:t xml:space="preserve">geom_point</w:t>
      </w:r>
      <w:r>
        <w:rPr>
          <w:rStyle w:val="NormalTok"/>
        </w:rPr>
        <w:t xml:space="preserve">(</w:t>
      </w:r>
      <w:r>
        <w:br/>
      </w:r>
      <w:r>
        <w:rPr>
          <w:rStyle w:val="NormalTok"/>
        </w:rPr>
        <w:t xml:space="preserve">    </w:t>
      </w:r>
      <w:r>
        <w:rPr>
          <w:rStyle w:val="AttributeTok"/>
        </w:rPr>
        <w:t xml:space="preserve">data =</w:t>
      </w:r>
      <w:r>
        <w:rPr>
          <w:rStyle w:val="NormalTok"/>
        </w:rPr>
        <w:t xml:space="preserve"> curve1,</w:t>
      </w:r>
      <w:r>
        <w:br/>
      </w:r>
      <w:r>
        <w:rPr>
          <w:rStyle w:val="NormalTok"/>
        </w:rPr>
        <w:t xml:space="preserve">    </w:t>
      </w:r>
      <w:r>
        <w:rPr>
          <w:rStyle w:val="FunctionTok"/>
        </w:rPr>
        <w:t xml:space="preserve">aes</w:t>
      </w:r>
      <w:r>
        <w:rPr>
          <w:rStyle w:val="NormalTok"/>
        </w:rPr>
        <w:t xml:space="preserve">(</w:t>
      </w:r>
      <w:r>
        <w:br/>
      </w:r>
      <w:r>
        <w:rPr>
          <w:rStyle w:val="NormalTok"/>
        </w:rPr>
        <w:t xml:space="preserve">      </w:t>
      </w:r>
      <w:r>
        <w:rPr>
          <w:rStyle w:val="AttributeTok"/>
        </w:rPr>
        <w:t xml:space="preserve">x =</w:t>
      </w:r>
      <w:r>
        <w:rPr>
          <w:rStyle w:val="NormalTok"/>
        </w:rPr>
        <w:t xml:space="preserve"> t1,</w:t>
      </w:r>
      <w:r>
        <w:br/>
      </w:r>
      <w:r>
        <w:rPr>
          <w:rStyle w:val="NormalTok"/>
        </w:rPr>
        <w:t xml:space="preserve">      </w:t>
      </w:r>
      <w:r>
        <w:rPr>
          <w:rStyle w:val="AttributeTok"/>
        </w:rPr>
        <w:t xml:space="preserve">y =</w:t>
      </w:r>
      <w:r>
        <w:rPr>
          <w:rStyle w:val="NormalTok"/>
        </w:rPr>
        <w:t xml:space="preserve"> y1,</w:t>
      </w:r>
      <w:r>
        <w:br/>
      </w:r>
      <w:r>
        <w:rPr>
          <w:rStyle w:val="NormalTok"/>
        </w:rPr>
        <w:t xml:space="preserve">      </w:t>
      </w:r>
      <w:r>
        <w:rPr>
          <w:rStyle w:val="AttributeTok"/>
        </w:rPr>
        <w:t xml:space="preserve">col =</w:t>
      </w:r>
      <w:r>
        <w:rPr>
          <w:rStyle w:val="NormalTok"/>
        </w:rPr>
        <w:t xml:space="preserve"> </w:t>
      </w:r>
      <w:r>
        <w:rPr>
          <w:rStyle w:val="StringTok"/>
        </w:rPr>
        <w:t xml:space="preserve">"(t1,y1)"</w:t>
      </w:r>
      <w:r>
        <w:br/>
      </w:r>
      <w:r>
        <w:rPr>
          <w:rStyle w:val="NormalTok"/>
        </w:rPr>
        <w:t xml:space="preserve">    )</w:t>
      </w:r>
      <w:r>
        <w:br/>
      </w:r>
      <w:r>
        <w:rPr>
          <w:rStyle w:val="NormalTok"/>
        </w:rPr>
        <w:t xml:space="preserve">  )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"bottom"</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col =</w:t>
      </w:r>
      <w:r>
        <w:rPr>
          <w:rStyle w:val="NormalTok"/>
        </w:rPr>
        <w:t xml:space="preserve"> </w:t>
      </w:r>
      <w:r>
        <w:rPr>
          <w:rStyle w:val="StringTok"/>
        </w:rPr>
        <w:t xml:space="preserve">""</w:t>
      </w:r>
      <w:r>
        <w:rPr>
          <w:rStyle w:val="NormalTok"/>
        </w:rPr>
        <w:t xml:space="preserve">)</w:t>
      </w:r>
    </w:p>
    <w:tbl>
      <w:tblPr>
        <w:tblStyle w:val="Table"/>
        <w:tblW w:type="pct" w:w="5000"/>
        <w:tblLayout w:type="fixed"/>
        <w:tblLook w:firstRow="0" w:lastRow="0" w:firstColumn="0" w:lastColumn="0" w:noHBand="0" w:noVBand="0" w:val="0000"/>
      </w:tblPr>
      <w:tblGrid>
        <w:gridCol w:w="7920"/>
      </w:tblGrid>
      <w:tr>
        <w:tc>
          <w:tcPr/>
          <w:bookmarkStart w:id="85" w:name="fig-response-graph"/>
          <w:p>
            <w:pPr>
              <w:pStyle w:val="Compact"/>
              <w:jc w:val="center"/>
            </w:pPr>
            <w:r>
              <w:drawing>
                <wp:inline>
                  <wp:extent cx="4620126" cy="3696101"/>
                  <wp:effectExtent b="0" l="0" r="0" t="0"/>
                  <wp:docPr descr="" title="" id="83" name="Picture"/>
                  <a:graphic>
                    <a:graphicData uri="http://schemas.openxmlformats.org/drawingml/2006/picture">
                      <pic:pic>
                        <pic:nvPicPr>
                          <pic:cNvPr descr="methodology_files/figure-docx/fig-response-graph-1.png" id="84" name="Picture"/>
                          <pic:cNvPicPr>
                            <a:picLocks noChangeArrowheads="1" noChangeAspect="1"/>
                          </pic:cNvPicPr>
                        </pic:nvPicPr>
                        <pic:blipFill>
                          <a:blip r:embed="rId82"/>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4: An example kinetics curve for HlyE IgG</w:t>
            </w:r>
          </w:p>
          <w:bookmarkEnd w:id="85"/>
        </w:tc>
      </w:tr>
    </w:tbl>
    <w:p>
      <w:pPr>
        <w:pStyle w:val="BodyText"/>
      </w:pPr>
      <w:r>
        <w:t xml:space="preserve">The antibody level at</w:t>
      </w:r>
      <w:r>
        <w:t xml:space="preserve"> </w:t>
      </w:r>
      <m:oMath>
        <m:r>
          <m:t>t</m:t>
        </m:r>
        <m:r>
          <m:rPr>
            <m:sty m:val="p"/>
          </m:rPr>
          <m:t>=</m:t>
        </m:r>
        <m:r>
          <m:t>0</m:t>
        </m:r>
      </m:oMath>
      <w:r>
        <w:t xml:space="preserve"> </w:t>
      </w:r>
      <w:r>
        <w:t xml:space="preserve">is</w:t>
      </w:r>
      <w:r>
        <w:t xml:space="preserve"> </w:t>
      </w:r>
      <m:oMath>
        <m:sSub>
          <m:e>
            <m:r>
              <m:t>y</m:t>
            </m:r>
          </m:e>
          <m:sub>
            <m:r>
              <m:t>0</m:t>
            </m:r>
          </m:sub>
        </m:sSub>
      </m:oMath>
      <w:r>
        <w:t xml:space="preserve">;</w:t>
      </w:r>
      <w:r>
        <w:t xml:space="preserve"> </w:t>
      </w:r>
      <w:r>
        <w:t xml:space="preserve">the rising branch ends at</w:t>
      </w:r>
      <w:r>
        <w:t xml:space="preserve"> </w:t>
      </w:r>
      <m:oMath>
        <m:r>
          <m:t>t</m:t>
        </m:r>
        <m:r>
          <m:rPr>
            <m:sty m:val="p"/>
          </m:rPr>
          <m:t>=</m:t>
        </m:r>
        <m:sSub>
          <m:e>
            <m:r>
              <m:t>t</m:t>
            </m:r>
          </m:e>
          <m:sub>
            <m:r>
              <m:t>1</m:t>
            </m:r>
          </m:sub>
        </m:sSub>
      </m:oMath>
      <w:r>
        <w:t xml:space="preserve"> </w:t>
      </w:r>
      <w:r>
        <w:t xml:space="preserve">where the peak antibody level</w:t>
      </w:r>
      <w:r>
        <w:t xml:space="preserve"> </w:t>
      </w:r>
      <m:oMath>
        <m:sSub>
          <m:e>
            <m:r>
              <m:t>y</m:t>
            </m:r>
          </m:e>
          <m:sub>
            <m:r>
              <m:t>1</m:t>
            </m:r>
          </m:sub>
        </m:sSub>
      </m:oMath>
      <w:r>
        <w:t xml:space="preserve"> </w:t>
      </w:r>
      <w:r>
        <w:t xml:space="preserve">is reached.</w:t>
      </w:r>
      <w:r>
        <w:t xml:space="preserve"> </w:t>
      </w:r>
      <w:r>
        <w:t xml:space="preserve">Any antibody level</w:t>
      </w:r>
      <w:r>
        <w:t xml:space="preserve"> </w:t>
      </w:r>
      <m:oMath>
        <m:r>
          <m:t>y</m:t>
        </m:r>
        <m:r>
          <m:rPr>
            <m:sty m:val="p"/>
          </m:rPr>
          <m:t>(</m:t>
        </m:r>
        <m:r>
          <m:t>t</m:t>
        </m:r>
        <m:r>
          <m:rPr>
            <m:sty m:val="p"/>
          </m:rPr>
          <m:t>)</m:t>
        </m:r>
        <m:r>
          <m:rPr>
            <m:sty m:val="p"/>
          </m:rPr>
          <m:t>∈</m:t>
        </m:r>
        <m:r>
          <m:rPr>
            <m:sty m:val="p"/>
          </m:rPr>
          <m:t>(</m:t>
        </m:r>
        <m:sSub>
          <m:e>
            <m:r>
              <m:t>y</m:t>
            </m:r>
          </m:e>
          <m:sub>
            <m:r>
              <m:t>0</m:t>
            </m:r>
          </m:sub>
        </m:sSub>
        <m:r>
          <m:rPr>
            <m:sty m:val="p"/>
          </m:rPr>
          <m:t>,</m:t>
        </m:r>
        <m:sSub>
          <m:e>
            <m:r>
              <m:t>y</m:t>
            </m:r>
          </m:e>
          <m:sub>
            <m:r>
              <m:t>1</m:t>
            </m:r>
          </m:sub>
        </m:sSub>
        <m:r>
          <m:rPr>
            <m:sty m:val="p"/>
          </m:rPr>
          <m:t>)</m:t>
        </m:r>
      </m:oMath>
      <w:r>
        <w:t xml:space="preserve"> </w:t>
      </w:r>
      <w:r>
        <w:t xml:space="preserve">eventually occurs twice.</w:t>
      </w:r>
    </w:p>
    <w:p>
      <w:r>
        <w:pict>
          <v:rect style="width:0;height:1.5pt" o:hralign="center" o:hrstd="t" o:hr="t"/>
        </w:pict>
      </w:r>
    </w:p>
    <w:p>
      <w:pPr>
        <w:pStyle w:val="FirstParagraph"/>
      </w:pPr>
      <w:r>
        <w:t xml:space="preserve">An interactive Shiny app lets you manipulate the model parameters:</w:t>
      </w:r>
    </w:p>
    <w:p>
      <w:pPr>
        <w:pStyle w:val="BodyText"/>
      </w:pPr>
      <w:r>
        <w:t xml:space="preserve">Interactive Shiny app:</w:t>
      </w:r>
      <w:r>
        <w:t xml:space="preserve"> </w:t>
      </w:r>
      <w:hyperlink r:id="rId86">
        <w:r>
          <w:rPr>
            <w:rStyle w:val="Hyperlink"/>
          </w:rPr>
          <w:t xml:space="preserve">https://ucdserg.shinyapps.io/antibody-kinetics-model-2/</w:t>
        </w:r>
      </w:hyperlink>
    </w:p>
    <w:p>
      <w:pPr>
        <w:pStyle w:val="CaptionedFigure"/>
      </w:pPr>
      <w:r>
        <w:drawing>
          <wp:inline>
            <wp:extent cx="2667000" cy="2667000"/>
            <wp:effectExtent b="0" l="0" r="0" t="0"/>
            <wp:docPr descr="QR code for the antibody-kinetics Shiny app" title="" id="88" name="Picture"/>
            <a:graphic>
              <a:graphicData uri="http://schemas.openxmlformats.org/drawingml/2006/picture">
                <pic:pic>
                  <pic:nvPicPr>
                    <pic:cNvPr descr="../man/figures/qr_akm2.svg" id="8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bwMode="auto">
                    <a:xfrm>
                      <a:off x="0" y="0"/>
                      <a:ext cx="2667000" cy="2667000"/>
                    </a:xfrm>
                    <a:prstGeom prst="rect">
                      <a:avLst/>
                    </a:prstGeom>
                    <a:noFill/>
                    <a:ln w="9525">
                      <a:noFill/>
                      <a:headEnd/>
                      <a:tailEnd/>
                    </a:ln>
                  </pic:spPr>
                </pic:pic>
              </a:graphicData>
            </a:graphic>
          </wp:inline>
        </w:drawing>
      </w:r>
    </w:p>
    <w:p>
      <w:pPr>
        <w:pStyle w:val="ImageCaption"/>
      </w:pPr>
      <w:r>
        <w:t xml:space="preserve">QR code for the antibody-kinetics Shiny app</w:t>
      </w:r>
    </w:p>
    <w:bookmarkEnd w:id="90"/>
    <w:bookmarkStart w:id="91" w:name="biological-noise"/>
    <w:p>
      <w:pPr>
        <w:pStyle w:val="Heading2"/>
      </w:pPr>
      <w:r>
        <w:t xml:space="preserve">5.6 Biological noise</w:t>
      </w:r>
    </w:p>
    <w:p>
      <w:pPr>
        <w:pStyle w:val="FirstParagraph"/>
      </w:pPr>
      <w:r>
        <w:t xml:space="preserve">When we measure antibody concentrations in a blood sample, we are essentially counting molecules (using biochemistry).</w:t>
      </w:r>
    </w:p>
    <w:p>
      <w:pPr>
        <w:pStyle w:val="BodyText"/>
      </w:pPr>
      <w:r>
        <w:t xml:space="preserve">We might miss some of the antibodies (undercount, false negatives) and we also might incorrectly count some other molecules that aren’t actually the ones we are looking for (overcount, false positives, cross-reactivity).</w:t>
      </w:r>
    </w:p>
    <w:p>
      <w:pPr>
        <w:pStyle w:val="BodyText"/>
      </w:pPr>
      <w:r>
        <w:t xml:space="preserve">We are more concerned about overcount (cross-reactivity) than undercount. For a given antibody, we can do some analytical work beforehand to estimate the distribution of overcounts, and add that to our model</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Notation:</w:t>
      </w:r>
    </w:p>
    <w:p>
      <w:pPr>
        <w:pStyle w:val="Compact"/>
        <w:numPr>
          <w:ilvl w:val="0"/>
          <w:numId w:val="1032"/>
        </w:numPr>
      </w:pPr>
      <m:oMath>
        <m:sSub>
          <m:e>
            <m:r>
              <m:t>y</m:t>
            </m:r>
          </m:e>
          <m:sub>
            <m:r>
              <m:rPr>
                <m:nor/>
                <m:sty m:val="p"/>
              </m:rPr>
              <m:t>obs</m:t>
            </m:r>
          </m:sub>
        </m:sSub>
      </m:oMath>
      <w:r>
        <w:t xml:space="preserve">: measured serum antibody concentration</w:t>
      </w:r>
    </w:p>
    <w:p>
      <w:pPr>
        <w:pStyle w:val="Compact"/>
        <w:numPr>
          <w:ilvl w:val="0"/>
          <w:numId w:val="1032"/>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32"/>
        </w:numPr>
      </w:pPr>
      <m:oMath>
        <m:sSub>
          <m:e>
            <m:r>
              <m:t>ϵ</m:t>
            </m:r>
          </m:e>
          <m:sub>
            <m:r>
              <m:t>b</m:t>
            </m:r>
          </m:sub>
        </m:sSub>
      </m:oMath>
      <w:r>
        <w:t xml:space="preserve">: noise due to probe cross-reactivity</w:t>
      </w:r>
    </w:p>
    <w:p>
      <w:pPr>
        <w:pStyle w:val="FirstParagraph"/>
      </w:pPr>
      <w:r>
        <w:t xml:space="preserve">Model:</w:t>
      </w:r>
    </w:p>
    <w:p>
      <w:pPr>
        <w:pStyle w:val="Compact"/>
        <w:numPr>
          <w:ilvl w:val="0"/>
          <w:numId w:val="1033"/>
        </w:numPr>
      </w:pPr>
      <m:oMath>
        <m:sSub>
          <m:e>
            <m:r>
              <m:t>y</m:t>
            </m:r>
          </m:e>
          <m:sub>
            <m:r>
              <m:rPr>
                <m:nor/>
                <m:sty m:val="p"/>
              </m:rPr>
              <m:t>obs</m:t>
            </m:r>
          </m:sub>
        </m:sSub>
        <m:r>
          <m:rPr>
            <m:sty m:val="p"/>
          </m:rPr>
          <m:t>=</m:t>
        </m:r>
        <m:sSub>
          <m:e>
            <m:r>
              <m:t>y</m:t>
            </m:r>
          </m:e>
          <m:sub>
            <m:r>
              <m:rPr>
                <m:nor/>
                <m:sty m:val="p"/>
              </m:rPr>
              <m:t>true</m:t>
            </m:r>
          </m:sub>
        </m:sSub>
        <m:r>
          <m:rPr>
            <m:sty m:val="p"/>
          </m:rPr>
          <m:t>+</m:t>
        </m:r>
        <m:sSub>
          <m:e>
            <m:r>
              <m:t>ϵ</m:t>
            </m:r>
          </m:e>
          <m:sub>
            <m:r>
              <m:t>b</m:t>
            </m:r>
          </m:sub>
        </m:sSub>
      </m:oMath>
      <w:r>
        <w:t xml:space="preserve">​</w:t>
      </w:r>
    </w:p>
    <w:p>
      <w:pPr>
        <w:pStyle w:val="Compact"/>
        <w:numPr>
          <w:ilvl w:val="0"/>
          <w:numId w:val="1033"/>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FirstParagraph"/>
      </w:pPr>
      <m:oMath>
        <m:r>
          <m:t>ν</m:t>
        </m:r>
      </m:oMath>
      <w:r>
        <w:t xml:space="preserve"> </w:t>
      </w:r>
      <w:r>
        <w:t xml:space="preserve">needs to be pre-estimated using negative controls,</w:t>
      </w:r>
      <w:r>
        <w:t xml:space="preserve"> </w:t>
      </w:r>
      <w:r>
        <w:t xml:space="preserve">typically using the 95th percentile of the distribution of</w:t>
      </w:r>
      <w:r>
        <w:t xml:space="preserve"> </w:t>
      </w:r>
      <w:r>
        <w:t xml:space="preserve">antibody responses to the antigen-isotype</w:t>
      </w:r>
      <w:r>
        <w:t xml:space="preserve"> </w:t>
      </w:r>
      <w:r>
        <w:t xml:space="preserve">in a population with no exposure.</w:t>
      </w:r>
    </w:p>
    <w:p>
      <w:pPr>
        <w:pStyle w:val="BodyText"/>
      </w:pPr>
      <w:r>
        <w:t xml:space="preserve">Why the 95th percentile of negative controls, rather than fitting the</w:t>
      </w:r>
      <w:r>
        <w:t xml:space="preserve"> </w:t>
      </w:r>
      <w:r>
        <w:t xml:space="preserve">full shape of the noise distribution?</w:t>
      </w:r>
    </w:p>
    <w:p>
      <w:pPr>
        <w:pStyle w:val="BodyText"/>
      </w:pPr>
      <w:r>
        <w:t xml:space="preserve">(Teunis and Eijkeren 2020)</w:t>
      </w:r>
      <w:r>
        <w:t xml:space="preserve"> </w:t>
      </w:r>
      <w:r>
        <w:t xml:space="preserve">show that a uniform noise model only needs to get the</w:t>
      </w:r>
      <w:r>
        <w:t xml:space="preserve"> </w:t>
      </w:r>
      <w:r>
        <w:t xml:space="preserve">noise</w:t>
      </w:r>
      <w:r>
        <w:t xml:space="preserve"> </w:t>
      </w:r>
      <w:r>
        <w:rPr>
          <w:i/>
          <w:iCs/>
        </w:rPr>
        <w:t xml:space="preserve">width</w:t>
      </w:r>
      <w:r>
        <w:t xml:space="preserve"> </w:t>
      </w:r>
      <w:r>
        <w:t xml:space="preserve">right, not its exact</w:t>
      </w:r>
      <w:r>
        <w:t xml:space="preserve"> </w:t>
      </w:r>
      <w:r>
        <w:rPr>
          <w:i/>
          <w:iCs/>
        </w:rPr>
        <w:t xml:space="preserve">shape</w:t>
      </w:r>
      <w:r>
        <w:t xml:space="preserve">: comparing</w:t>
      </w:r>
      <w:r>
        <w:t xml:space="preserve"> </w:t>
      </w:r>
      <m:oMath>
        <m:r>
          <m:t>λ</m:t>
        </m:r>
      </m:oMath>
      <w:r>
        <w:t xml:space="preserve"> </w:t>
      </w:r>
      <w:r>
        <w:t xml:space="preserve">estimates under the true (lognormal) noise distribution against</w:t>
      </w:r>
      <w:r>
        <w:t xml:space="preserve"> </w:t>
      </w:r>
      <w:r>
        <w:t xml:space="preserve">estimates under a uniform distribution with the same one-sided 95%</w:t>
      </w:r>
      <w:r>
        <w:t xml:space="preserve"> </w:t>
      </w:r>
      <w:r>
        <w:t xml:space="preserve">range, the two are similar. Getting the width right matters far more</w:t>
      </w:r>
      <w:r>
        <w:t xml:space="preserve"> </w:t>
      </w:r>
      <w:r>
        <w:t xml:space="preserve">than getting the shape right, so a single width parameter – rather</w:t>
      </w:r>
      <w:r>
        <w:t xml:space="preserve"> </w:t>
      </w:r>
      <w:r>
        <w:t xml:space="preserve">than a fully specified distribution – is sufficient.</w:t>
      </w:r>
    </w:p>
    <w:p>
      <w:pPr>
        <w:pStyle w:val="BodyText"/>
      </w:pPr>
      <w:r>
        <w:t xml:space="preserve">That still leaves the question of</w:t>
      </w:r>
      <w:r>
        <w:t xml:space="preserve"> </w:t>
      </w:r>
      <w:r>
        <w:rPr>
          <w:i/>
          <w:iCs/>
        </w:rPr>
        <w:t xml:space="preserve">how</w:t>
      </w:r>
      <w:r>
        <w:t xml:space="preserve"> </w:t>
      </w:r>
      <w:r>
        <w:t xml:space="preserve">to estimate the width. The</w:t>
      </w:r>
      <w:r>
        <w:t xml:space="preserve"> </w:t>
      </w:r>
      <w:r>
        <w:t xml:space="preserve">general cross-sectional sample cannot be used directly: it is a</w:t>
      </w:r>
      <w:r>
        <w:t xml:space="preserve"> </w:t>
      </w:r>
      <w:r>
        <w:t xml:space="preserve">mixture of never-infected subjects (pure noise) and subjects at</w:t>
      </w:r>
      <w:r>
        <w:t xml:space="preserve"> </w:t>
      </w:r>
      <w:r>
        <w:t xml:space="preserve">various stages of a real antibody response (signal plus noise), and</w:t>
      </w:r>
      <w:r>
        <w:t xml:space="preserve"> </w:t>
      </w:r>
      <w:r>
        <w:t xml:space="preserve">separating the two requires already knowing who is infected – exactly</w:t>
      </w:r>
      <w:r>
        <w:t xml:space="preserve"> </w:t>
      </w:r>
      <w:r>
        <w:t xml:space="preserve">what the model is trying to estimate.</w:t>
      </w:r>
      <w:r>
        <w:t xml:space="preserve"> </w:t>
      </w:r>
      <w:r>
        <w:t xml:space="preserve">(Teunis and Eijkeren 2020)</w:t>
      </w:r>
      <w:r>
        <w:t xml:space="preserve"> </w:t>
      </w:r>
      <w:r>
        <w:t xml:space="preserve">note this</w:t>
      </w:r>
      <w:r>
        <w:t xml:space="preserve"> </w:t>
      </w:r>
      <w:r>
        <w:t xml:space="preserve">explicitly:</w:t>
      </w:r>
      <w:r>
        <w:t xml:space="preserve"> </w:t>
      </w:r>
      <w:r>
        <w:t xml:space="preserve">“against a background of ongoing seroresponses, even</w:t>
      </w:r>
      <w:r>
        <w:t xml:space="preserve"> </w:t>
      </w:r>
      <w:r>
        <w:t xml:space="preserve">reliable verification of the (95%) width of the distribution may be</w:t>
      </w:r>
      <w:r>
        <w:t xml:space="preserve"> </w:t>
      </w:r>
      <w:r>
        <w:t xml:space="preserve">difficult.”</w:t>
      </w:r>
    </w:p>
    <w:p>
      <w:pPr>
        <w:pStyle w:val="BodyText"/>
      </w:pPr>
      <w:r>
        <w:t xml:space="preserve">A negative-control panel (subjects confirmed never infected) avoids</w:t>
      </w:r>
      <w:r>
        <w:t xml:space="preserve"> </w:t>
      </w:r>
      <w:r>
        <w:t xml:space="preserve">this circularity: every observed value in that panel</w:t>
      </w:r>
      <w:r>
        <w:t xml:space="preserve"> </w:t>
      </w:r>
      <w:r>
        <w:rPr>
          <w:i/>
          <w:iCs/>
        </w:rPr>
        <w:t xml:space="preserve">is</w:t>
      </w:r>
      <w:r>
        <w:t xml:space="preserve"> </w:t>
      </w:r>
      <w:r>
        <w:t xml:space="preserve">noise, with</w:t>
      </w:r>
      <w:r>
        <w:t xml:space="preserve"> </w:t>
      </w:r>
      <w:r>
        <w:t xml:space="preserve">no signal mixed in, so its empirical 95th percentile is a direct</w:t>
      </w:r>
      <w:r>
        <w:t xml:space="preserve"> </w:t>
      </w:r>
      <w:r>
        <w:t xml:space="preserve">estimate of the width the model needs.</w:t>
      </w:r>
    </w:p>
    <w:p>
      <w:pPr>
        <w:pStyle w:val="BodyText"/>
      </w:pPr>
      <w:r>
        <w:t xml:space="preserve">Why the 95th percentile specifically, rather than the 99th or the</w:t>
      </w:r>
      <w:r>
        <w:t xml:space="preserve"> </w:t>
      </w:r>
      <w:r>
        <w:t xml:space="preserve">100th (the sample maximum)?</w:t>
      </w:r>
      <w:r>
        <w:t xml:space="preserve"> </w:t>
      </w:r>
      <w:r>
        <w:t xml:space="preserve">(Teunis and Eijkeren 2020)</w:t>
      </w:r>
      <w:r>
        <w:t xml:space="preserve"> </w:t>
      </w:r>
      <w:r>
        <w:t xml:space="preserve">motivates a</w:t>
      </w:r>
      <w:r>
        <w:t xml:space="preserve"> </w:t>
      </w:r>
      <w:r>
        <w:rPr>
          <w:i/>
          <w:iCs/>
        </w:rPr>
        <w:t xml:space="preserve">width-based</w:t>
      </w:r>
      <w:r>
        <w:t xml:space="preserve"> </w:t>
      </w:r>
      <w:r>
        <w:t xml:space="preserve">approach, first framing it as</w:t>
      </w:r>
      <w:r>
        <w:t xml:space="preserve"> </w:t>
      </w:r>
      <w:r>
        <w:t xml:space="preserve">“the one-sided 95%”</w:t>
      </w:r>
      <w:r>
        <w:t xml:space="preserve"> </w:t>
      </w:r>
      <w:r>
        <w:t xml:space="preserve">and later as the</w:t>
      </w:r>
      <w:r>
        <w:t xml:space="preserve"> </w:t>
      </w:r>
      <w:r>
        <w:t xml:space="preserve">“95% range”</w:t>
      </w:r>
      <w:r>
        <w:t xml:space="preserve"> </w:t>
      </w:r>
      <w:r>
        <w:t xml:space="preserve">/</w:t>
      </w:r>
      <w:r>
        <w:t xml:space="preserve"> </w:t>
      </w:r>
      <w:r>
        <w:t xml:space="preserve">“(95%) width”</w:t>
      </w:r>
      <w:r>
        <w:t xml:space="preserve"> </w:t>
      </w:r>
      <w:r>
        <w:t xml:space="preserve">of the noise distribution, but never</w:t>
      </w:r>
      <w:r>
        <w:t xml:space="preserve"> </w:t>
      </w:r>
      <w:r>
        <w:t xml:space="preserve">compares 95% against other levels – so the choice of 95% itself is</w:t>
      </w:r>
      <w:r>
        <w:t xml:space="preserve"> </w:t>
      </w:r>
      <w:r>
        <w:t xml:space="preserve">an adopted convention (it matches how reference intervals are</w:t>
      </w:r>
      <w:r>
        <w:t xml:space="preserve"> </w:t>
      </w:r>
      <w:r>
        <w:t xml:space="preserve">commonly defined in clinical laboratory practice), not a result</w:t>
      </w:r>
      <w:r>
        <w:t xml:space="preserve"> </w:t>
      </w:r>
      <w:r>
        <w:t xml:space="preserve">derived or optimized in the paper.</w:t>
      </w:r>
      <w:r>
        <w:t xml:space="preserve"> </w:t>
      </w:r>
      <w:r>
        <w:t xml:space="preserve">The 100th percentile (the sample maximum) would be a poor choice</w:t>
      </w:r>
      <w:r>
        <w:t xml:space="preserve"> </w:t>
      </w:r>
      <w:r>
        <w:t xml:space="preserve">regardless: it is driven entirely by the single most extreme</w:t>
      </w:r>
      <w:r>
        <w:t xml:space="preserve"> </w:t>
      </w:r>
      <w:r>
        <w:t xml:space="preserve">observation in the panel, so one contaminated or mislabeled</w:t>
      </w:r>
      <w:r>
        <w:t xml:space="preserve"> </w:t>
      </w:r>
      <w:r>
        <w:t xml:space="preserve">negative control inflates</w:t>
      </w:r>
      <w:r>
        <w:t xml:space="preserve"> </w:t>
      </w:r>
      <m:oMath>
        <m:r>
          <m:t>ν</m:t>
        </m:r>
      </m:oMath>
      <w:r>
        <w:t xml:space="preserve"> </w:t>
      </w:r>
      <w:r>
        <w:t xml:space="preserve">directly, and for any finite panel</w:t>
      </w:r>
      <w:r>
        <w:t xml:space="preserve"> </w:t>
      </w:r>
      <w:r>
        <w:t xml:space="preserve">it underestimates the true theoretical bound. A percentile further</w:t>
      </w:r>
      <w:r>
        <w:t xml:space="preserve"> </w:t>
      </w:r>
      <w:r>
        <w:t xml:space="preserve">into the tail than 95% (e.g., 99%) needs a substantially larger</w:t>
      </w:r>
      <w:r>
        <w:t xml:space="preserve"> </w:t>
      </w:r>
      <w:r>
        <w:t xml:space="preserve">negative-control panel to estimate with comparable precision, for the</w:t>
      </w:r>
      <w:r>
        <w:t xml:space="preserve"> </w:t>
      </w:r>
      <w:r>
        <w:t xml:space="preserve">same reason – order statistics closer to the extreme have higher</w:t>
      </w:r>
      <w:r>
        <w:t xml:space="preserve"> </w:t>
      </w:r>
      <w:r>
        <w:t xml:space="preserve">sampling variance. 95% is the conventional middle ground: far enough</w:t>
      </w:r>
      <w:r>
        <w:t xml:space="preserve"> </w:t>
      </w:r>
      <w:r>
        <w:t xml:space="preserve">into the tail to capture the width that matters, without the</w:t>
      </w:r>
      <w:r>
        <w:t xml:space="preserve"> </w:t>
      </w:r>
      <w:r>
        <w:t xml:space="preserve">fragility of chasing a more extreme quantile.</w:t>
      </w:r>
    </w:p>
    <w:bookmarkEnd w:id="91"/>
    <w:bookmarkStart w:id="92" w:name="measurement-noise"/>
    <w:p>
      <w:pPr>
        <w:pStyle w:val="Heading2"/>
      </w:pPr>
      <w:r>
        <w:t xml:space="preserve">5.7 Measurement noise</w:t>
      </w:r>
    </w:p>
    <w:p>
      <w:pPr>
        <w:pStyle w:val="FirstParagraph"/>
      </w:pPr>
      <w:r>
        <w:t xml:space="preserve">There are also some other sources of noise in our bioassays;</w:t>
      </w:r>
      <w:r>
        <w:t xml:space="preserve"> </w:t>
      </w:r>
      <w:r>
        <w:t xml:space="preserve">user differences in pipetting technique,</w:t>
      </w:r>
      <w:r>
        <w:t xml:space="preserve"> </w:t>
      </w:r>
      <w:r>
        <w:t xml:space="preserve">random ELISA plate effects, etc.</w:t>
      </w:r>
      <w:r>
        <w:t xml:space="preserve"> </w:t>
      </w:r>
      <w:r>
        <w:t xml:space="preserve">This noise can cause both overcount and undercount.</w:t>
      </w:r>
      <w:r>
        <w:t xml:space="preserve"> </w:t>
      </w:r>
      <w:r>
        <w:t xml:space="preserve">We can also estimate the magnitude of this noise source</w:t>
      </w:r>
      <w:r>
        <w:t xml:space="preserve"> </w:t>
      </w:r>
      <w:r>
        <w:t xml:space="preserve">and include it in</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Measurement noise,</w:t>
      </w:r>
      <w:r>
        <w:t xml:space="preserve"> </w:t>
      </w:r>
      <m:oMath>
        <m:r>
          <m:t>ε</m:t>
        </m:r>
      </m:oMath>
      <w:r>
        <w:t xml:space="preserve"> </w:t>
      </w:r>
      <w:r>
        <w:t xml:space="preserve">(</w:t>
      </w:r>
      <w:r>
        <w:t xml:space="preserve">“epsilon”</w:t>
      </w:r>
      <w:r>
        <w:t xml:space="preserve">),</w:t>
      </w:r>
      <w:r>
        <w:t xml:space="preserve"> </w:t>
      </w:r>
      <w:r>
        <w:t xml:space="preserve">represents measurement error from the laboratory testing process.</w:t>
      </w:r>
    </w:p>
    <w:p>
      <w:pPr>
        <w:pStyle w:val="BodyText"/>
      </w:pPr>
      <w:r>
        <w:t xml:space="preserve">Unlike biological noise, measurement noise is</w:t>
      </w:r>
      <w:r>
        <w:t xml:space="preserve"> </w:t>
      </w:r>
      <w:r>
        <w:rPr>
          <w:i/>
          <w:iCs/>
        </w:rPr>
        <w:t xml:space="preserve">multiplicative</w:t>
      </w:r>
      <w:r>
        <w:t xml:space="preserve">:</w:t>
      </w:r>
      <w:r>
        <w:t xml:space="preserve"> </w:t>
      </w:r>
      <w:r>
        <w:t xml:space="preserve">the error scales with the true concentration</w:t>
      </w:r>
      <w:r>
        <w:t xml:space="preserve"> </w:t>
      </w:r>
      <w:r>
        <w:t xml:space="preserve">(equivalently, it is additive on a log scale),</w:t>
      </w:r>
      <w:r>
        <w:t xml:space="preserve"> </w:t>
      </w:r>
      <w:r>
        <w:t xml:space="preserve">and it has mean zero,</w:t>
      </w:r>
      <w:r>
        <w:t xml:space="preserve"> </w:t>
      </w:r>
      <w:r>
        <w:t xml:space="preserve">so on average it neither inflates nor deflates the measured concentration.</w:t>
      </w:r>
    </w:p>
    <w:p>
      <w:pPr>
        <w:pStyle w:val="BodyText"/>
      </w:pPr>
      <w:r>
        <w:t xml:space="preserve">Notation:</w:t>
      </w:r>
    </w:p>
    <w:p>
      <w:pPr>
        <w:pStyle w:val="Compact"/>
        <w:numPr>
          <w:ilvl w:val="0"/>
          <w:numId w:val="1034"/>
        </w:numPr>
      </w:pPr>
      <m:oMath>
        <m:sSub>
          <m:e>
            <m:r>
              <m:t>y</m:t>
            </m:r>
          </m:e>
          <m:sub>
            <m:r>
              <m:rPr>
                <m:nor/>
                <m:sty m:val="p"/>
              </m:rPr>
              <m:t>obs</m:t>
            </m:r>
          </m:sub>
        </m:sSub>
      </m:oMath>
      <w:r>
        <w:t xml:space="preserve">: measured serum antibody concentration</w:t>
      </w:r>
    </w:p>
    <w:p>
      <w:pPr>
        <w:pStyle w:val="Compact"/>
        <w:numPr>
          <w:ilvl w:val="0"/>
          <w:numId w:val="1034"/>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34"/>
        </w:numPr>
      </w:pPr>
      <m:oMath>
        <m:r>
          <m:t>ξ</m:t>
        </m:r>
      </m:oMath>
      <w:r>
        <w:t xml:space="preserve">: relative measurement error</w:t>
      </w:r>
    </w:p>
    <w:p>
      <w:pPr>
        <w:pStyle w:val="Compact"/>
        <w:numPr>
          <w:ilvl w:val="0"/>
          <w:numId w:val="1034"/>
        </w:numPr>
      </w:pPr>
      <m:oMath>
        <m:r>
          <m:t>ε</m:t>
        </m:r>
      </m:oMath>
      <w:r>
        <w:t xml:space="preserve">: bound on the relative error</w:t>
      </w:r>
    </w:p>
    <w:p>
      <w:pPr>
        <w:pStyle w:val="FirstParagraph"/>
      </w:pPr>
      <w:r>
        <w:t xml:space="preserve">Model:</w:t>
      </w:r>
    </w:p>
    <w:p>
      <w:pPr>
        <w:pStyle w:val="Compact"/>
        <w:numPr>
          <w:ilvl w:val="0"/>
          <w:numId w:val="1035"/>
        </w:numPr>
      </w:pPr>
      <m:oMath>
        <m:sSub>
          <m:e>
            <m:r>
              <m:t>y</m:t>
            </m:r>
          </m:e>
          <m:sub>
            <m:r>
              <m:rPr>
                <m:nor/>
                <m:sty m:val="p"/>
              </m:rPr>
              <m:t>obs</m:t>
            </m:r>
          </m:sub>
        </m:sSub>
        <m:r>
          <m:rPr>
            <m:sty m:val="p"/>
          </m:rPr>
          <m:t>=</m:t>
        </m:r>
        <m:sSub>
          <m:e>
            <m:r>
              <m:t>y</m:t>
            </m:r>
          </m:e>
          <m:sub>
            <m:r>
              <m:rPr>
                <m:nor/>
                <m:sty m:val="p"/>
              </m:rPr>
              <m:t>true</m:t>
            </m:r>
          </m:sub>
        </m:sSub>
        <m:r>
          <m:rPr>
            <m:sty m:val="p"/>
          </m:rPr>
          <m:t>⋅</m:t>
        </m:r>
        <m:r>
          <m:rPr>
            <m:sty m:val="p"/>
          </m:rPr>
          <m:t>(</m:t>
        </m:r>
        <m:r>
          <m:t>1</m:t>
        </m:r>
        <m:r>
          <m:rPr>
            <m:sty m:val="p"/>
          </m:rPr>
          <m:t>+</m:t>
        </m:r>
        <m:r>
          <m:t>ξ</m:t>
        </m:r>
        <m:r>
          <m:rPr>
            <m:sty m:val="p"/>
          </m:rPr>
          <m:t>)</m:t>
        </m:r>
      </m:oMath>
      <w:r>
        <w:t xml:space="preserve">​</w:t>
      </w:r>
    </w:p>
    <w:p>
      <w:pPr>
        <w:pStyle w:val="Compact"/>
        <w:numPr>
          <w:ilvl w:val="0"/>
          <w:numId w:val="1035"/>
        </w:numPr>
      </w:pPr>
      <m:oMath>
        <m:r>
          <m:t>ξ</m:t>
        </m:r>
        <m:r>
          <m:rPr>
            <m:sty m:val="p"/>
          </m:rPr>
          <m:t>∼</m:t>
        </m:r>
        <m:r>
          <m:rPr>
            <m:nor/>
            <m:sty m:val="p"/>
          </m:rPr>
          <m:t>Unif</m:t>
        </m:r>
        <m:r>
          <m:rPr>
            <m:sty m:val="p"/>
          </m:rPr>
          <m:t>(</m:t>
        </m:r>
        <m:r>
          <m:rPr>
            <m:sty m:val="p"/>
          </m:rPr>
          <m:t>−</m:t>
        </m:r>
        <m:r>
          <m:t>ε</m:t>
        </m:r>
        <m:r>
          <m:rPr>
            <m:sty m:val="p"/>
          </m:rPr>
          <m:t>,</m:t>
        </m:r>
        <m:r>
          <m:t>ε</m:t>
        </m:r>
        <m:r>
          <m:rPr>
            <m:sty m:val="p"/>
          </m:rPr>
          <m:t>)</m:t>
        </m:r>
        <m:r>
          <m:rPr>
            <m:sty m:val="p"/>
          </m:rPr>
          <m:t>,</m:t>
        </m:r>
        <m:r>
          <m:t> </m:t>
        </m:r>
        <m:r>
          <m:t>0</m:t>
        </m:r>
        <m:r>
          <m:rPr>
            <m:sty m:val="p"/>
          </m:rPr>
          <m:t>≤</m:t>
        </m:r>
        <m:r>
          <m:t>ε</m:t>
        </m:r>
        <m:r>
          <m:rPr>
            <m:sty m:val="p"/>
          </m:rPr>
          <m:t>&lt;</m:t>
        </m:r>
        <m:r>
          <m:t>1</m:t>
        </m:r>
      </m:oMath>
      <w:r>
        <w:t xml:space="preserve">​</w:t>
      </w:r>
    </w:p>
    <w:p>
      <w:pPr>
        <w:pStyle w:val="FirstParagraph"/>
      </w:pPr>
      <w:r>
        <w:t xml:space="preserve">Here</w:t>
      </w:r>
      <w:r>
        <w:t xml:space="preserve"> </w:t>
      </w:r>
      <m:oMath>
        <m:r>
          <m:t>ε</m:t>
        </m:r>
      </m:oMath>
      <w:r>
        <w:t xml:space="preserve"> </w:t>
      </w:r>
      <w:r>
        <w:t xml:space="preserve">is the bound on the relative error,</w:t>
      </w:r>
      <w:r>
        <w:t xml:space="preserve"> </w:t>
      </w:r>
      <w:r>
        <w:t xml:space="preserve">not a coefficient of variation (CV).</w:t>
      </w:r>
      <w:r>
        <w:t xml:space="preserve"> </w:t>
      </w:r>
      <w:r>
        <w:t xml:space="preserve">Assay precision is often reported as a CV,</w:t>
      </w:r>
      <w:r>
        <w:t xml:space="preserve"> </w:t>
      </w:r>
      <w:r>
        <w:t xml:space="preserve">the ratio of the standard deviation to the mean for replicates,</w:t>
      </w:r>
      <w:r>
        <w:t xml:space="preserve"> </w:t>
      </w:r>
      <w:r>
        <w:t xml:space="preserve">ideally measured across plates rather than within the same plate.</w:t>
      </w:r>
      <w:r>
        <w:t xml:space="preserve"> </w:t>
      </w:r>
      <w:r>
        <w:t xml:space="preserve">Under this uniform model the CV equals</w:t>
      </w:r>
      <w:r>
        <w:t xml:space="preserve"> </w:t>
      </w:r>
      <m:oMath>
        <m:r>
          <m:t>ε</m:t>
        </m:r>
        <m:r>
          <m:rPr>
            <m:sty m:val="p"/>
          </m:rPr>
          <m:t>/</m:t>
        </m:r>
        <m:rad>
          <m:radPr>
            <m:degHide m:val="on"/>
          </m:radPr>
          <m:deg/>
          <m:e>
            <m:r>
              <m:t>3</m:t>
            </m:r>
          </m:e>
        </m:rad>
      </m:oMath>
      <w:r>
        <w:t xml:space="preserve">,</w:t>
      </w:r>
      <w:r>
        <w:t xml:space="preserve"> </w:t>
      </w:r>
      <w:r>
        <w:t xml:space="preserve">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t xml:space="preserve">This follows directly from the variance of a uniform distribution.</w:t>
      </w:r>
      <w:r>
        <w:t xml:space="preserve"> </w:t>
      </w:r>
      <w:r>
        <w:t xml:space="preserve">For</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BodyText"/>
      </w:pPr>
      <m:oMathPara>
        <m:oMathParaPr>
          <m:jc m:val="center"/>
        </m:oMathParaPr>
        <m:oMath>
          <m:r>
            <m:rPr>
              <m:nor/>
              <m:sty m:val="p"/>
            </m:rPr>
            <m:t>Var</m:t>
          </m:r>
          <m:r>
            <m:rPr>
              <m:sty m:val="p"/>
            </m:rPr>
            <m:t>(</m:t>
          </m:r>
          <m:r>
            <m:t>ξ</m:t>
          </m:r>
          <m:r>
            <m:rPr>
              <m:sty m:val="p"/>
            </m:rPr>
            <m:t>)</m:t>
          </m:r>
          <m:r>
            <m:rPr>
              <m:sty m:val="p"/>
            </m:rPr>
            <m:t>=</m:t>
          </m:r>
          <m:f>
            <m:fPr>
              <m:type m:val="bar"/>
            </m:fPr>
            <m:num>
              <m:r>
                <m:rPr>
                  <m:sty m:val="p"/>
                </m:rPr>
                <m:t>(</m:t>
              </m:r>
              <m:r>
                <m:t>2</m:t>
              </m:r>
              <m:r>
                <m:t>ε</m:t>
              </m:r>
              <m:sSup>
                <m:e>
                  <m:r>
                    <m:rPr>
                      <m:sty m:val="p"/>
                    </m:rPr>
                    <m:t>)</m:t>
                  </m:r>
                </m:e>
                <m:sup>
                  <m:r>
                    <m:t>2</m:t>
                  </m:r>
                </m:sup>
              </m:sSup>
            </m:num>
            <m:den>
              <m:r>
                <m:t>12</m:t>
              </m:r>
            </m:den>
          </m:f>
          <m:r>
            <m:rPr>
              <m:sty m:val="p"/>
            </m:rPr>
            <m:t>=</m:t>
          </m:r>
          <m:f>
            <m:fPr>
              <m:type m:val="bar"/>
            </m:fPr>
            <m:num>
              <m:sSup>
                <m:e>
                  <m:r>
                    <m:t>ε</m:t>
                  </m:r>
                </m:e>
                <m:sup>
                  <m:r>
                    <m:t>2</m:t>
                  </m:r>
                </m:sup>
              </m:sSup>
            </m:num>
            <m:den>
              <m:r>
                <m:t>3</m:t>
              </m:r>
            </m:den>
          </m:f>
          <m:r>
            <m:t> </m:t>
          </m:r>
          <m:r>
            <m:rPr>
              <m:sty m:val="p"/>
            </m:rPr>
            <m:t>⇒</m:t>
          </m:r>
          <m:r>
            <m:t> </m:t>
          </m:r>
          <m:r>
            <m:rPr>
              <m:nor/>
              <m:sty m:val="p"/>
            </m:rPr>
            <m:t>SD</m:t>
          </m:r>
          <m:r>
            <m:rPr>
              <m:sty m:val="p"/>
            </m:rPr>
            <m:t>(</m:t>
          </m:r>
          <m:r>
            <m:t>ξ</m:t>
          </m:r>
          <m:r>
            <m:rPr>
              <m:sty m:val="p"/>
            </m:rPr>
            <m:t>)</m:t>
          </m:r>
          <m:r>
            <m:rPr>
              <m:sty m:val="p"/>
            </m:rPr>
            <m:t>=</m:t>
          </m:r>
          <m:f>
            <m:fPr>
              <m:type m:val="bar"/>
            </m:fPr>
            <m:num>
              <m:r>
                <m:t>ε</m:t>
              </m:r>
            </m:num>
            <m:den>
              <m:rad>
                <m:radPr>
                  <m:degHide m:val="on"/>
                </m:radPr>
                <m:deg/>
                <m:e>
                  <m:r>
                    <m:t>3</m:t>
                  </m:r>
                </m:e>
              </m:rad>
            </m:den>
          </m:f>
          <m:r>
            <m:rPr>
              <m:sty m:val="p"/>
            </m:rPr>
            <m:t>.</m:t>
          </m:r>
        </m:oMath>
      </m:oMathPara>
    </w:p>
    <w:p>
      <w:pPr>
        <w:pStyle w:val="FirstParagraph"/>
      </w:pPr>
      <w:r>
        <w:t xml:space="preserve">Since</w:t>
      </w:r>
      <w:r>
        <w:t xml:space="preserve"> </w:t>
      </w:r>
      <m:oMath>
        <m:r>
          <m:t>E</m:t>
        </m:r>
        <m:r>
          <m:rPr>
            <m:sty m:val="p"/>
          </m:rPr>
          <m:t>[</m:t>
        </m:r>
        <m:r>
          <m:t>ξ</m:t>
        </m:r>
        <m:r>
          <m:rPr>
            <m:sty m:val="p"/>
          </m:rPr>
          <m:t>]</m:t>
        </m:r>
        <m:r>
          <m:rPr>
            <m:sty m:val="p"/>
          </m:rPr>
          <m:t>=</m:t>
        </m:r>
        <m:r>
          <m:t>0</m:t>
        </m:r>
      </m:oMath>
      <w:r>
        <w:t xml:space="preserve"> </w:t>
      </w:r>
      <w:r>
        <w:t xml:space="preserve">by symmetry, for a fixed true concentration</w:t>
      </w:r>
      <w:r>
        <w:t xml:space="preserve"> </w:t>
      </w:r>
      <m:oMath>
        <m:sSub>
          <m:e>
            <m:r>
              <m:t>y</m:t>
            </m:r>
          </m:e>
          <m:sub>
            <m:r>
              <m:rPr>
                <m:nor/>
                <m:sty m:val="p"/>
              </m:rPr>
              <m:t>true</m:t>
            </m:r>
          </m:sub>
        </m:sSub>
      </m:oMath>
      <w:r>
        <w:t xml:space="preserve">,</w:t>
      </w:r>
    </w:p>
    <w:p>
      <w:pPr>
        <w:pStyle w:val="BodyText"/>
      </w:pPr>
      <m:oMathPara>
        <m:oMathParaPr>
          <m:jc m:val="center"/>
        </m:oMathParaPr>
        <m:oMath>
          <m:r>
            <m:t>E</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E</m:t>
          </m:r>
          <m:r>
            <m:rPr>
              <m:sty m:val="p"/>
            </m:rPr>
            <m:t>[</m:t>
          </m:r>
          <m:r>
            <m:t>1</m:t>
          </m:r>
          <m:r>
            <m:rPr>
              <m:sty m:val="p"/>
            </m:rPr>
            <m:t>+</m:t>
          </m:r>
          <m:r>
            <m:t>ξ</m:t>
          </m:r>
          <m:r>
            <m:rPr>
              <m:sty m:val="p"/>
            </m:rPr>
            <m:t>]</m:t>
          </m:r>
          <m:r>
            <m:rPr>
              <m:sty m:val="p"/>
            </m:rPr>
            <m:t>=</m:t>
          </m:r>
          <m:sSub>
            <m:e>
              <m:r>
                <m:t>y</m:t>
              </m:r>
            </m:e>
            <m:sub>
              <m:r>
                <m:rPr>
                  <m:nor/>
                  <m:sty m:val="p"/>
                </m:rPr>
                <m:t>true</m:t>
              </m:r>
            </m:sub>
          </m:sSub>
          <m:r>
            <m:rPr>
              <m:sty m:val="p"/>
            </m:rPr>
            <m:t>,</m:t>
          </m:r>
          <m:r>
            <m:t>  </m:t>
          </m:r>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rPr>
              <m:nor/>
              <m:sty m:val="p"/>
            </m:rPr>
            <m:t>SD</m:t>
          </m:r>
          <m:r>
            <m:rPr>
              <m:sty m:val="p"/>
            </m:rPr>
            <m:t>(</m:t>
          </m:r>
          <m:r>
            <m:t>ξ</m:t>
          </m:r>
          <m:r>
            <m:rPr>
              <m:sty m:val="p"/>
            </m:rPr>
            <m:t>)</m:t>
          </m:r>
          <m:r>
            <m:rPr>
              <m:sty m:val="p"/>
            </m:rPr>
            <m:t>=</m:t>
          </m:r>
          <m:sSub>
            <m:e>
              <m:r>
                <m:t>y</m:t>
              </m:r>
            </m:e>
            <m:sub>
              <m:r>
                <m:rPr>
                  <m:nor/>
                  <m:sty m:val="p"/>
                </m:rPr>
                <m:t>true</m:t>
              </m:r>
            </m:sub>
          </m:sSub>
          <m:r>
            <m:rPr>
              <m:sty m:val="p"/>
            </m:rPr>
            <m:t>⋅</m:t>
          </m:r>
          <m:f>
            <m:fPr>
              <m:type m:val="bar"/>
            </m:fPr>
            <m:num>
              <m:r>
                <m:t>ε</m:t>
              </m:r>
            </m:num>
            <m:den>
              <m:rad>
                <m:radPr>
                  <m:degHide m:val="on"/>
                </m:radPr>
                <m:deg/>
                <m:e>
                  <m:r>
                    <m:t>3</m:t>
                  </m:r>
                </m:e>
              </m:rad>
            </m:den>
          </m:f>
          <m:r>
            <m:rPr>
              <m:sty m:val="p"/>
            </m:rPr>
            <m:t>,</m:t>
          </m:r>
        </m:oMath>
      </m:oMathPara>
    </w:p>
    <w:p>
      <w:pPr>
        <w:pStyle w:val="FirstParagraph"/>
      </w:pPr>
      <w:r>
        <w:t xml:space="preserve">so</w:t>
      </w:r>
    </w:p>
    <w:p>
      <w:pPr>
        <w:pStyle w:val="BodyText"/>
      </w:pPr>
      <m:oMathPara>
        <m:oMathParaPr>
          <m:jc m:val="center"/>
        </m:oMathParaPr>
        <m:oMath>
          <m:r>
            <m:rPr>
              <m:nor/>
              <m:sty m:val="p"/>
            </m:rPr>
            <m:t>CV</m:t>
          </m:r>
          <m:r>
            <m:rPr>
              <m:sty m:val="p"/>
            </m:rPr>
            <m:t>=</m:t>
          </m:r>
          <m:f>
            <m:fPr>
              <m:type m:val="bar"/>
            </m:fPr>
            <m:num>
              <m:r>
                <m:rPr>
                  <m:nor/>
                  <m:sty m:val="p"/>
                </m:rPr>
                <m:t>SD</m:t>
              </m:r>
              <m:r>
                <m:rPr>
                  <m:sty m:val="p"/>
                </m:rPr>
                <m:t>(</m:t>
              </m:r>
              <m:sSub>
                <m:e>
                  <m:r>
                    <m:t>y</m:t>
                  </m:r>
                </m:e>
                <m:sub>
                  <m:r>
                    <m:rPr>
                      <m:nor/>
                      <m:sty m:val="p"/>
                    </m:rPr>
                    <m:t>obs</m:t>
                  </m:r>
                </m:sub>
              </m:sSub>
              <m:r>
                <m:rPr>
                  <m:sty m:val="p"/>
                </m:rPr>
                <m:t>)</m:t>
              </m:r>
            </m:num>
            <m:den>
              <m:r>
                <m:t>E</m:t>
              </m:r>
              <m:r>
                <m:rPr>
                  <m:sty m:val="p"/>
                </m:rPr>
                <m:t>[</m:t>
              </m:r>
              <m:sSub>
                <m:e>
                  <m:r>
                    <m:t>y</m:t>
                  </m:r>
                </m:e>
                <m:sub>
                  <m:r>
                    <m:rPr>
                      <m:nor/>
                      <m:sty m:val="p"/>
                    </m:rPr>
                    <m:t>obs</m:t>
                  </m:r>
                </m:sub>
              </m:sSub>
              <m:r>
                <m:rPr>
                  <m:sty m:val="p"/>
                </m:rPr>
                <m:t>]</m:t>
              </m:r>
            </m:den>
          </m:f>
          <m:r>
            <m:rPr>
              <m:sty m:val="p"/>
            </m:rPr>
            <m:t>=</m:t>
          </m:r>
          <m:f>
            <m:fPr>
              <m:type m:val="bar"/>
            </m:fPr>
            <m:num>
              <m:r>
                <m:t>ε</m:t>
              </m:r>
            </m:num>
            <m:den>
              <m:rad>
                <m:radPr>
                  <m:degHide m:val="on"/>
                </m:radPr>
                <m:deg/>
                <m:e>
                  <m:r>
                    <m:t>3</m:t>
                  </m:r>
                </m:e>
              </m:rad>
            </m:den>
          </m:f>
          <m:r>
            <m:rPr>
              <m:sty m:val="p"/>
            </m:rPr>
            <m:t>.</m:t>
          </m:r>
        </m:oMath>
      </m:oMathPara>
    </w:p>
    <w:p>
      <w:pPr>
        <w:pStyle w:val="FirstParagraph"/>
      </w:pPr>
      <w:r>
        <w:t xml:space="preserve">The true concentration</w:t>
      </w:r>
      <w:r>
        <w:t xml:space="preserve"> </w:t>
      </w:r>
      <m:oMath>
        <m:sSub>
          <m:e>
            <m:r>
              <m:t>y</m:t>
            </m:r>
          </m:e>
          <m:sub>
            <m:r>
              <m:rPr>
                <m:nor/>
                <m:sty m:val="p"/>
              </m:rPr>
              <m:t>true</m:t>
            </m:r>
          </m:sub>
        </m:sSub>
      </m:oMath>
      <w:r>
        <w:t xml:space="preserve"> </w:t>
      </w:r>
      <w:r>
        <w:t xml:space="preserve">cancels, so the CV depends only</w:t>
      </w:r>
      <w:r>
        <w:t xml:space="preserve"> </w:t>
      </w:r>
      <w:r>
        <w:t xml:space="preserve">on</w:t>
      </w:r>
      <w:r>
        <w:t xml:space="preserve"> </w:t>
      </w:r>
      <m:oMath>
        <m:r>
          <m:t>ε</m:t>
        </m:r>
      </m:oMath>
      <w:r>
        <w:t xml:space="preserve">, not on the concentration being measured – as</w:t>
      </w:r>
      <w:r>
        <w:t xml:space="preserve"> </w:t>
      </w:r>
      <w:r>
        <w:t xml:space="preserve">expected for a</w:t>
      </w:r>
      <w:r>
        <w:t xml:space="preserve"> </w:t>
      </w:r>
      <w:r>
        <w:rPr>
          <w:i/>
          <w:iCs/>
        </w:rPr>
        <w:t xml:space="preserve">relative</w:t>
      </w:r>
      <w:r>
        <w:t xml:space="preserve"> </w:t>
      </w:r>
      <w:r>
        <w:t xml:space="preserve">(multiplicative) error model.</w:t>
      </w:r>
    </w:p>
    <w:bookmarkEnd w:id="92"/>
    <w:bookmarkStart w:id="93" w:name="Xb7158a708bbfcf737c1d66d073315801f06d41e"/>
    <w:p>
      <w:pPr>
        <w:pStyle w:val="Heading2"/>
      </w:pPr>
      <w:r>
        <w:t xml:space="preserve">5.8 Combined biological and measurement noise</w:t>
      </w:r>
    </w:p>
    <w:p>
      <w:pPr>
        <w:pStyle w:val="FirstParagraph"/>
      </w:pPr>
      <w:r>
        <w:t xml:space="preserve">In practice both noise sources are usually present at once.</w:t>
      </w:r>
      <w:r>
        <w:t xml:space="preserve"> </w:t>
      </w:r>
      <w:r>
        <w:t xml:space="preserve">The two are applied in sequence</w:t>
      </w:r>
      <w:r>
        <w:t xml:space="preserve"> </w:t>
      </w:r>
      <w:r>
        <w:t xml:space="preserve">(Teunis and Eijkeren 2020)</w:t>
      </w:r>
      <w:r>
        <w:t xml:space="preserve">:</w:t>
      </w:r>
      <w:r>
        <w:t xml:space="preserve"> </w:t>
      </w:r>
      <w:r>
        <w:t xml:space="preserve">biological noise is added to the true concentration,</w:t>
      </w:r>
      <w:r>
        <w:t xml:space="preserve"> </w:t>
      </w:r>
      <w:r>
        <w:t xml:space="preserve">and measurement noise then scales the result.</w:t>
      </w:r>
    </w:p>
    <w:p>
      <w:pPr>
        <w:pStyle w:val="BodyText"/>
      </w:pPr>
      <w:r>
        <w:t xml:space="preserve">Model:</w:t>
      </w:r>
    </w:p>
    <w:p>
      <w:pPr>
        <w:pStyle w:val="Compact"/>
        <w:numPr>
          <w:ilvl w:val="0"/>
          <w:numId w:val="1036"/>
        </w:numPr>
      </w:pPr>
      <m:oMath>
        <m:sSub>
          <m:e>
            <m:r>
              <m:t>y</m:t>
            </m:r>
          </m:e>
          <m:sub>
            <m:r>
              <m:rPr>
                <m:nor/>
                <m:sty m:val="p"/>
              </m:rPr>
              <m:t>obs</m:t>
            </m:r>
          </m:sub>
        </m:sSub>
        <m:r>
          <m:rPr>
            <m:sty m:val="p"/>
          </m:rPr>
          <m:t>=</m:t>
        </m:r>
        <m:r>
          <m:rPr>
            <m:sty m:val="p"/>
          </m:rPr>
          <m:t>(</m:t>
        </m:r>
        <m:sSub>
          <m:e>
            <m:r>
              <m:t>y</m:t>
            </m:r>
          </m:e>
          <m:sub>
            <m:r>
              <m:rPr>
                <m:nor/>
                <m:sty m:val="p"/>
              </m:rPr>
              <m:t>true</m:t>
            </m:r>
          </m:sub>
        </m:sSub>
        <m:r>
          <m:rPr>
            <m:sty m:val="p"/>
          </m:rPr>
          <m:t>+</m:t>
        </m:r>
        <m:sSub>
          <m:e>
            <m:r>
              <m:t>ϵ</m:t>
            </m:r>
          </m:e>
          <m:sub>
            <m:r>
              <m:t>b</m:t>
            </m:r>
          </m:sub>
        </m:sSub>
        <m:r>
          <m:rPr>
            <m:sty m:val="p"/>
          </m:rPr>
          <m:t>)</m:t>
        </m:r>
        <m:r>
          <m:rPr>
            <m:sty m:val="p"/>
          </m:rPr>
          <m:t>(</m:t>
        </m:r>
        <m:r>
          <m:t>1</m:t>
        </m:r>
        <m:r>
          <m:rPr>
            <m:sty m:val="p"/>
          </m:rPr>
          <m:t>+</m:t>
        </m:r>
        <m:r>
          <m:t>ξ</m:t>
        </m:r>
        <m:r>
          <m:rPr>
            <m:sty m:val="p"/>
          </m:rPr>
          <m:t>)</m:t>
        </m:r>
      </m:oMath>
      <w:r>
        <w:t xml:space="preserve">​</w:t>
      </w:r>
    </w:p>
    <w:p>
      <w:pPr>
        <w:pStyle w:val="Compact"/>
        <w:numPr>
          <w:ilvl w:val="0"/>
          <w:numId w:val="1036"/>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Compact"/>
        <w:numPr>
          <w:ilvl w:val="0"/>
          <w:numId w:val="1036"/>
        </w:numPr>
      </w:pP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FirstParagraph"/>
      </w:pPr>
      <w:r>
        <w:t xml:space="preserve">This is the model</w:t>
      </w:r>
      <w:r>
        <w:t xml:space="preserve"> </w:t>
      </w:r>
      <w:r>
        <w:rPr>
          <w:rStyle w:val="VerbatimChar"/>
        </w:rPr>
        <w:t xml:space="preserve">serocalculator</w:t>
      </w:r>
      <w:r>
        <w:t xml:space="preserve"> </w:t>
      </w:r>
      <w:r>
        <w:t xml:space="preserve">uses</w:t>
      </w:r>
      <w:r>
        <w:t xml:space="preserve"> </w:t>
      </w:r>
      <w:r>
        <w:t xml:space="preserve">whenever a</w:t>
      </w:r>
      <w:r>
        <w:t xml:space="preserve"> </w:t>
      </w:r>
      <w:r>
        <w:rPr>
          <w:rStyle w:val="VerbatimChar"/>
        </w:rPr>
        <w:t xml:space="preserve">noise_params</w:t>
      </w:r>
      <w:r>
        <w:t xml:space="preserve"> </w:t>
      </w:r>
      <w:r>
        <w:t xml:space="preserve">row has both</w:t>
      </w:r>
      <w:r>
        <w:t xml:space="preserve"> </w:t>
      </w:r>
      <m:oMath>
        <m:r>
          <m:t>ν</m:t>
        </m:r>
        <m:r>
          <m:rPr>
            <m:sty m:val="p"/>
          </m:rPr>
          <m:t>&gt;</m:t>
        </m:r>
        <m:r>
          <m:t>0</m:t>
        </m:r>
      </m:oMath>
      <w:r>
        <w:t xml:space="preserve"> </w:t>
      </w:r>
      <w:r>
        <w:t xml:space="preserve">and</w:t>
      </w:r>
      <w:r>
        <w:t xml:space="preserve"> </w:t>
      </w:r>
      <m:oMath>
        <m:r>
          <m:t>ε</m:t>
        </m:r>
        <m:r>
          <m:rPr>
            <m:sty m:val="p"/>
          </m:rPr>
          <m:t>&gt;</m:t>
        </m:r>
        <m:r>
          <m:t>0</m:t>
        </m:r>
      </m:oMath>
      <w:r>
        <w:t xml:space="preserve">;</w:t>
      </w:r>
      <w:r>
        <w:t xml:space="preserve"> </w:t>
      </w:r>
      <w:r>
        <w:t xml:space="preserve">setting either width to zero recovers the corresponding single-source model above.</w:t>
      </w:r>
    </w:p>
    <w:p>
      <w:pPr>
        <w:pStyle w:val="BodyText"/>
      </w:pPr>
      <w:r>
        <w:t xml:space="preserve">The observed concentration is a product of two independent random</w:t>
      </w:r>
      <w:r>
        <w:t xml:space="preserve"> </w:t>
      </w:r>
      <w:r>
        <w:t xml:space="preserve">variables,</w:t>
      </w:r>
      <w:r>
        <w:t xml:space="preserve"> </w:t>
      </w:r>
      <m:oMath>
        <m:sSub>
          <m:e>
            <m:r>
              <m:t>y</m:t>
            </m:r>
          </m:e>
          <m:sub>
            <m:r>
              <m:rPr>
                <m:nor/>
                <m:sty m:val="p"/>
              </m:rPr>
              <m:t>obs</m:t>
            </m:r>
          </m:sub>
        </m:sSub>
        <m:r>
          <m:rPr>
            <m:sty m:val="p"/>
          </m:rPr>
          <m:t>=</m:t>
        </m:r>
        <m:r>
          <m:t>S</m:t>
        </m:r>
        <m:r>
          <m:rPr>
            <m:sty m:val="p"/>
          </m:rPr>
          <m:t>⋅</m:t>
        </m:r>
        <m:r>
          <m:t>X</m:t>
        </m:r>
      </m:oMath>
      <w:r>
        <w:t xml:space="preserve">, where</w:t>
      </w:r>
      <w:r>
        <w:t xml:space="preserve"> </w:t>
      </w:r>
      <m:oMath>
        <m:r>
          <m:t>S</m:t>
        </m:r>
        <m:r>
          <m:rPr>
            <m:sty m:val="p"/>
          </m:rPr>
          <m:t>=</m:t>
        </m:r>
        <m:sSub>
          <m:e>
            <m:r>
              <m:t>y</m:t>
            </m:r>
          </m:e>
          <m:sub>
            <m:r>
              <m:rPr>
                <m:nor/>
                <m:sty m:val="p"/>
              </m:rPr>
              <m:t>true</m:t>
            </m:r>
          </m:sub>
        </m:sSub>
        <m:r>
          <m:rPr>
            <m:sty m:val="p"/>
          </m:rPr>
          <m:t>+</m:t>
        </m:r>
        <m:sSub>
          <m:e>
            <m:r>
              <m:t>ϵ</m:t>
            </m:r>
          </m:e>
          <m:sub>
            <m:r>
              <m:t>b</m:t>
            </m:r>
          </m:sub>
        </m:sSub>
      </m:oMath>
      <w:r>
        <w:t xml:space="preserve"> </w:t>
      </w:r>
      <w:r>
        <w:t xml:space="preserve">and</w:t>
      </w:r>
      <w:r>
        <w:t xml:space="preserve"> </w:t>
      </w:r>
      <m:oMath>
        <m:r>
          <m:t>X</m:t>
        </m:r>
        <m:r>
          <m:rPr>
            <m:sty m:val="p"/>
          </m:rPr>
          <m:t>=</m:t>
        </m:r>
        <m:r>
          <m:t>1</m:t>
        </m:r>
        <m:r>
          <m:rPr>
            <m:sty m:val="p"/>
          </m:rPr>
          <m:t>+</m:t>
        </m:r>
        <m:r>
          <m:t>ξ</m:t>
        </m:r>
      </m:oMath>
      <w:r>
        <w:t xml:space="preserve">. Conditional on</w:t>
      </w:r>
      <w:r>
        <w:t xml:space="preserve"> </w:t>
      </w:r>
      <m:oMath>
        <m:sSub>
          <m:e>
            <m:r>
              <m:t>y</m:t>
            </m:r>
          </m:e>
          <m:sub>
            <m:r>
              <m:rPr>
                <m:nor/>
                <m:sty m:val="p"/>
              </m:rPr>
              <m:t>true</m:t>
            </m:r>
          </m:sub>
        </m:sSub>
      </m:oMath>
      <w:r>
        <w:t xml:space="preserve"> </w:t>
      </w:r>
      <w:r>
        <w:t xml:space="preserve">(holding it fixed, since</w:t>
      </w:r>
      <w:r>
        <w:t xml:space="preserve"> </w:t>
      </w:r>
      <w:r>
        <w:t xml:space="preserve">only</w:t>
      </w:r>
      <w:r>
        <w:t xml:space="preserve"> </w:t>
      </w:r>
      <m:oMath>
        <m:sSub>
          <m:e>
            <m:r>
              <m:t>ϵ</m:t>
            </m:r>
          </m:e>
          <m:sub>
            <m:r>
              <m:t>b</m:t>
            </m:r>
          </m:sub>
        </m:sSub>
      </m:oMath>
      <w:r>
        <w:t xml:space="preserve"> </w:t>
      </w:r>
      <w:r>
        <w:t xml:space="preserve">and</w:t>
      </w:r>
      <w:r>
        <w:t xml:space="preserve"> </w:t>
      </w:r>
      <m:oMath>
        <m:r>
          <m:t>ξ</m:t>
        </m:r>
      </m:oMath>
      <w:r>
        <w:t xml:space="preserve"> </w:t>
      </w:r>
      <w:r>
        <w:t xml:space="preserve">are random),</w:t>
      </w:r>
    </w:p>
    <w:p>
      <w:pPr>
        <w:pStyle w:val="BodyText"/>
      </w:pPr>
      <m:oMathPara>
        <m:oMathParaPr>
          <m:jc m:val="center"/>
        </m:oMathParaPr>
        <m:oMath>
          <m:r>
            <m:t>E</m:t>
          </m:r>
          <m:r>
            <m:rPr>
              <m:sty m:val="p"/>
            </m:rPr>
            <m:t>[</m:t>
          </m:r>
          <m:r>
            <m:t>S</m:t>
          </m:r>
          <m:r>
            <m:rPr>
              <m:sty m:val="p"/>
            </m:rPr>
            <m:t>]</m:t>
          </m:r>
          <m:r>
            <m:rPr>
              <m:sty m:val="p"/>
            </m:rPr>
            <m:t>=</m:t>
          </m:r>
          <m:sSub>
            <m:e>
              <m:r>
                <m:t>y</m:t>
              </m:r>
            </m:e>
            <m:sub>
              <m:r>
                <m:rPr>
                  <m:nor/>
                  <m:sty m:val="p"/>
                </m:rPr>
                <m:t>true</m:t>
              </m:r>
            </m:sub>
          </m:sSub>
          <m:r>
            <m:rPr>
              <m:sty m:val="p"/>
            </m:rPr>
            <m:t>+</m:t>
          </m:r>
          <m:f>
            <m:fPr>
              <m:type m:val="bar"/>
            </m:fPr>
            <m:num>
              <m:r>
                <m:t>ν</m:t>
              </m:r>
            </m:num>
            <m:den>
              <m:r>
                <m:t>2</m:t>
              </m:r>
            </m:den>
          </m:f>
          <m:r>
            <m:rPr>
              <m:sty m:val="p"/>
            </m:rPr>
            <m:t>,</m:t>
          </m:r>
          <m:r>
            <m:t>  </m:t>
          </m:r>
          <m:r>
            <m:rPr>
              <m:nor/>
              <m:sty m:val="p"/>
            </m:rPr>
            <m:t>Var</m:t>
          </m:r>
          <m:r>
            <m:rPr>
              <m:sty m:val="p"/>
            </m:rPr>
            <m:t>(</m:t>
          </m:r>
          <m:r>
            <m:t>S</m:t>
          </m:r>
          <m:r>
            <m:rPr>
              <m:sty m:val="p"/>
            </m:rPr>
            <m:t>)</m:t>
          </m:r>
          <m:r>
            <m:rPr>
              <m:sty m:val="p"/>
            </m:rPr>
            <m:t>=</m:t>
          </m:r>
          <m:r>
            <m:rPr>
              <m:nor/>
              <m:sty m:val="p"/>
            </m:rPr>
            <m:t>Var</m:t>
          </m:r>
          <m:r>
            <m:rPr>
              <m:sty m:val="p"/>
            </m:rPr>
            <m:t>(</m:t>
          </m:r>
          <m:sSub>
            <m:e>
              <m:r>
                <m:t>ϵ</m:t>
              </m:r>
            </m:e>
            <m:sub>
              <m:r>
                <m:t>b</m:t>
              </m:r>
            </m:sub>
          </m:sSub>
          <m:r>
            <m:rPr>
              <m:sty m:val="p"/>
            </m:rPr>
            <m:t>)</m:t>
          </m:r>
          <m:r>
            <m:rPr>
              <m:sty m:val="p"/>
            </m:rPr>
            <m:t>=</m:t>
          </m:r>
          <m:f>
            <m:fPr>
              <m:type m:val="bar"/>
            </m:fPr>
            <m:num>
              <m:sSup>
                <m:e>
                  <m:r>
                    <m:t>ν</m:t>
                  </m:r>
                </m:e>
                <m:sup>
                  <m:r>
                    <m:t>2</m:t>
                  </m:r>
                </m:sup>
              </m:sSup>
            </m:num>
            <m:den>
              <m:r>
                <m:t>12</m:t>
              </m:r>
            </m:den>
          </m:f>
          <m:r>
            <m:rPr>
              <m:sty m:val="p"/>
            </m:rPr>
            <m:t>,</m:t>
          </m:r>
          <m:r>
            <m:t>  </m:t>
          </m:r>
          <m:r>
            <m:t>E</m:t>
          </m:r>
          <m:r>
            <m:rPr>
              <m:sty m:val="p"/>
            </m:rPr>
            <m:t>[</m:t>
          </m:r>
          <m:r>
            <m:t>X</m:t>
          </m:r>
          <m:r>
            <m:rPr>
              <m:sty m:val="p"/>
            </m:rPr>
            <m:t>]</m:t>
          </m:r>
          <m:r>
            <m:rPr>
              <m:sty m:val="p"/>
            </m:rPr>
            <m:t>=</m:t>
          </m:r>
          <m:r>
            <m:t>1</m:t>
          </m:r>
          <m:r>
            <m:rPr>
              <m:sty m:val="p"/>
            </m:rPr>
            <m:t>,</m:t>
          </m:r>
          <m:r>
            <m:t>  </m:t>
          </m:r>
          <m:r>
            <m:rPr>
              <m:nor/>
              <m:sty m:val="p"/>
            </m:rPr>
            <m:t>Var</m:t>
          </m:r>
          <m:r>
            <m:rPr>
              <m:sty m:val="p"/>
            </m:rPr>
            <m:t>(</m:t>
          </m:r>
          <m:r>
            <m:t>X</m:t>
          </m:r>
          <m:r>
            <m:rPr>
              <m:sty m:val="p"/>
            </m:rPr>
            <m:t>)</m:t>
          </m:r>
          <m:r>
            <m:rPr>
              <m:sty m:val="p"/>
            </m:rPr>
            <m:t>=</m:t>
          </m:r>
          <m:r>
            <m:rPr>
              <m:nor/>
              <m:sty m:val="p"/>
            </m:rPr>
            <m:t>Var</m:t>
          </m:r>
          <m:r>
            <m:rPr>
              <m:sty m:val="p"/>
            </m:rPr>
            <m:t>(</m:t>
          </m:r>
          <m:r>
            <m:t>ξ</m:t>
          </m:r>
          <m:r>
            <m:rPr>
              <m:sty m:val="p"/>
            </m:rPr>
            <m:t>)</m:t>
          </m:r>
          <m:r>
            <m:rPr>
              <m:sty m:val="p"/>
            </m:rPr>
            <m:t>=</m:t>
          </m:r>
          <m:f>
            <m:fPr>
              <m:type m:val="bar"/>
            </m:fPr>
            <m:num>
              <m:sSup>
                <m:e>
                  <m:r>
                    <m:t>ε</m:t>
                  </m:r>
                </m:e>
                <m:sup>
                  <m:r>
                    <m:t>2</m:t>
                  </m:r>
                </m:sup>
              </m:sSup>
            </m:num>
            <m:den>
              <m:r>
                <m:t>3</m:t>
              </m:r>
            </m:den>
          </m:f>
          <m:r>
            <m:rPr>
              <m:sty m:val="p"/>
            </m:rPr>
            <m:t>,</m:t>
          </m:r>
        </m:oMath>
      </m:oMathPara>
    </w:p>
    <w:p>
      <w:pPr>
        <w:pStyle w:val="FirstParagraph"/>
      </w:pPr>
      <w:r>
        <w:t xml:space="preserve">the first pair from</w:t>
      </w:r>
      <w:r>
        <w:t xml:space="preserve"> </w:t>
      </w: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 the second from</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 </w:t>
      </w:r>
      <w:r>
        <w:t xml:space="preserve">(as derived above). For</w:t>
      </w:r>
      <w:r>
        <w:t xml:space="preserve"> </w:t>
      </w:r>
      <w:r>
        <w:t xml:space="preserve">independent</w:t>
      </w:r>
      <w:r>
        <w:t xml:space="preserve"> </w:t>
      </w:r>
      <m:oMath>
        <m:r>
          <m:t>S</m:t>
        </m:r>
      </m:oMath>
      <w:r>
        <w:t xml:space="preserve"> </w:t>
      </w:r>
      <w:r>
        <w:t xml:space="preserve">and</w:t>
      </w:r>
      <w:r>
        <w:t xml:space="preserve"> </w:t>
      </w:r>
      <m:oMath>
        <m:r>
          <m:t>X</m:t>
        </m:r>
      </m:oMath>
      <w:r>
        <w:t xml:space="preserve">,</w:t>
      </w:r>
    </w:p>
    <w:p>
      <w:pPr>
        <w:pStyle w:val="BodyText"/>
      </w:pPr>
      <m:oMathPara>
        <m:oMathParaPr>
          <m:jc m:val="center"/>
        </m:oMathParaPr>
        <m:oMath>
          <m:r>
            <m:rPr>
              <m:nor/>
              <m:sty m:val="p"/>
            </m:rPr>
            <m:t>Var</m:t>
          </m:r>
          <m:r>
            <m:rPr>
              <m:sty m:val="p"/>
            </m:rPr>
            <m:t>(</m:t>
          </m:r>
          <m:r>
            <m:t>S</m:t>
          </m:r>
          <m:r>
            <m:t>X</m:t>
          </m:r>
          <m:r>
            <m:rPr>
              <m:sty m:val="p"/>
            </m:rPr>
            <m:t>)</m:t>
          </m:r>
          <m:r>
            <m:rPr>
              <m:sty m:val="p"/>
            </m:rPr>
            <m:t>=</m:t>
          </m:r>
          <m:r>
            <m:rPr>
              <m:nor/>
              <m:sty m:val="p"/>
            </m:rPr>
            <m:t>Var</m:t>
          </m:r>
          <m:r>
            <m:rPr>
              <m:sty m:val="p"/>
            </m:rPr>
            <m:t>(</m:t>
          </m:r>
          <m:r>
            <m:t>S</m:t>
          </m:r>
          <m:r>
            <m:rPr>
              <m:sty m:val="p"/>
            </m:rPr>
            <m:t>)</m:t>
          </m:r>
          <m:r>
            <m:rPr>
              <m:nor/>
              <m:sty m:val="p"/>
            </m:rPr>
            <m:t>Var</m:t>
          </m:r>
          <m:r>
            <m:rPr>
              <m:sty m:val="p"/>
            </m:rPr>
            <m:t>(</m:t>
          </m:r>
          <m:r>
            <m:t>X</m:t>
          </m:r>
          <m:r>
            <m:rPr>
              <m:sty m:val="p"/>
            </m:rPr>
            <m:t>)</m:t>
          </m:r>
          <m:r>
            <m:rPr>
              <m:sty m:val="p"/>
            </m:rPr>
            <m:t>+</m:t>
          </m:r>
          <m:r>
            <m:rPr>
              <m:nor/>
              <m:sty m:val="p"/>
            </m:rPr>
            <m:t>Var</m:t>
          </m:r>
          <m:r>
            <m:rPr>
              <m:sty m:val="p"/>
            </m:rPr>
            <m:t>(</m:t>
          </m:r>
          <m:r>
            <m:t>S</m:t>
          </m:r>
          <m:r>
            <m:rPr>
              <m:sty m:val="p"/>
            </m:rPr>
            <m:t>)</m:t>
          </m:r>
          <m:r>
            <m:t> </m:t>
          </m:r>
          <m:r>
            <m:t>E</m:t>
          </m:r>
          <m:r>
            <m:rPr>
              <m:sty m:val="p"/>
            </m:rPr>
            <m:t>[</m:t>
          </m:r>
          <m:r>
            <m:t>X</m:t>
          </m:r>
          <m:sSup>
            <m:e>
              <m:r>
                <m:rPr>
                  <m:sty m:val="p"/>
                </m:rPr>
                <m:t>]</m:t>
              </m:r>
            </m:e>
            <m:sup>
              <m:r>
                <m:t>2</m:t>
              </m:r>
            </m:sup>
          </m:sSup>
          <m:r>
            <m:rPr>
              <m:sty m:val="p"/>
            </m:rPr>
            <m:t>+</m:t>
          </m:r>
          <m:r>
            <m:t>E</m:t>
          </m:r>
          <m:r>
            <m:rPr>
              <m:sty m:val="p"/>
            </m:rPr>
            <m:t>[</m:t>
          </m:r>
          <m:r>
            <m:t>S</m:t>
          </m:r>
          <m:sSup>
            <m:e>
              <m:r>
                <m:rPr>
                  <m:sty m:val="p"/>
                </m:rPr>
                <m:t>]</m:t>
              </m:r>
            </m:e>
            <m:sup>
              <m:r>
                <m:t>2</m:t>
              </m:r>
            </m:sup>
          </m:sSup>
          <m:r>
            <m:t> </m:t>
          </m:r>
          <m:r>
            <m:rPr>
              <m:nor/>
              <m:sty m:val="p"/>
            </m:rPr>
            <m:t>Var</m:t>
          </m:r>
          <m:r>
            <m:rPr>
              <m:sty m:val="p"/>
            </m:rPr>
            <m:t>(</m:t>
          </m:r>
          <m:r>
            <m:t>X</m:t>
          </m:r>
          <m:r>
            <m:rPr>
              <m:sty m:val="p"/>
            </m:rPr>
            <m:t>)</m:t>
          </m:r>
          <m:r>
            <m:rPr>
              <m:sty m:val="p"/>
            </m:rPr>
            <m:t>.</m:t>
          </m:r>
        </m:oMath>
      </m:oMathPara>
    </w:p>
    <w:p>
      <w:pPr>
        <w:pStyle w:val="FirstParagraph"/>
      </w:pPr>
      <w:r>
        <w:t xml:space="preserve">Substituting</w:t>
      </w:r>
      <w:r>
        <w:t xml:space="preserve"> </w:t>
      </w:r>
      <m:oMath>
        <m:r>
          <m:t>E</m:t>
        </m:r>
        <m:r>
          <m:rPr>
            <m:sty m:val="p"/>
          </m:rPr>
          <m:t>[</m:t>
        </m:r>
        <m:r>
          <m:t>X</m:t>
        </m:r>
        <m:r>
          <m:rPr>
            <m:sty m:val="p"/>
          </m:rPr>
          <m:t>]</m:t>
        </m:r>
        <m:r>
          <m:rPr>
            <m:sty m:val="p"/>
          </m:rPr>
          <m:t>=</m:t>
        </m:r>
        <m:r>
          <m:t>1</m:t>
        </m:r>
      </m:oMath>
      <w:r>
        <w:t xml:space="preserve"> </w:t>
      </w:r>
      <w:r>
        <w:t xml:space="preserve">and the variances above,</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r>
            <m:rPr>
              <m:sty m:val="p"/>
            </m:rPr>
            <m:t>⋅</m:t>
          </m:r>
          <m:f>
            <m:fPr>
              <m:type m:val="bar"/>
            </m:fPr>
            <m:num>
              <m:sSup>
                <m:e>
                  <m:r>
                    <m:t>ε</m:t>
                  </m:r>
                </m:e>
                <m:sup>
                  <m:r>
                    <m:t>2</m:t>
                  </m:r>
                </m:sup>
              </m:sSup>
            </m:num>
            <m:den>
              <m:r>
                <m:t>3</m:t>
              </m:r>
            </m:den>
          </m:f>
          <m:r>
            <m:rPr>
              <m:sty m:val="p"/>
            </m:rPr>
            <m:t>+</m:t>
          </m:r>
          <m:f>
            <m:fPr>
              <m:type m:val="bar"/>
            </m:fPr>
            <m:num>
              <m:sSup>
                <m:e>
                  <m:r>
                    <m:t>ν</m:t>
                  </m:r>
                </m:e>
                <m:sup>
                  <m:r>
                    <m:t>2</m:t>
                  </m:r>
                </m:sup>
              </m:sSup>
            </m:num>
            <m:den>
              <m:r>
                <m:t>12</m:t>
              </m:r>
            </m:den>
          </m:f>
          <m:r>
            <m:rPr>
              <m:sty m:val="p"/>
            </m:rPr>
            <m:t>⋅</m:t>
          </m:r>
          <m:r>
            <m:t>1</m:t>
          </m:r>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which simplifies to</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As a check, this reduces to the two single-source cases above: setting</w:t>
      </w:r>
      <w:r>
        <w:t xml:space="preserve"> </w:t>
      </w:r>
      <m:oMath>
        <m:r>
          <m:t>ε</m:t>
        </m:r>
        <m:r>
          <m:rPr>
            <m:sty m:val="p"/>
          </m:rPr>
          <m:t>=</m:t>
        </m:r>
        <m:r>
          <m:t>0</m:t>
        </m:r>
      </m:oMath>
      <w:r>
        <w:t xml:space="preserve"> </w:t>
      </w:r>
      <w:r>
        <w:t xml:space="preserve">gives</w:t>
      </w:r>
      <w:r>
        <w:t xml:space="preserve"> </w:t>
      </w:r>
      <m:oMath>
        <m:sSup>
          <m:e>
            <m:r>
              <m:t>ν</m:t>
            </m:r>
          </m:e>
          <m:sup>
            <m:r>
              <m:t>2</m:t>
            </m:r>
          </m:sup>
        </m:sSup>
        <m:r>
          <m:rPr>
            <m:sty m:val="p"/>
          </m:rPr>
          <m:t>/</m:t>
        </m:r>
        <m:r>
          <m:t>12</m:t>
        </m:r>
      </m:oMath>
      <w:r>
        <w:t xml:space="preserve">, matching</w:t>
      </w:r>
      <w:r>
        <w:t xml:space="preserve"> </w:t>
      </w:r>
      <m:oMath>
        <m:r>
          <m:rPr>
            <m:nor/>
            <m:sty m:val="p"/>
          </m:rPr>
          <m:t>Var</m:t>
        </m:r>
        <m:r>
          <m:rPr>
            <m:sty m:val="p"/>
          </m:rPr>
          <m:t>(</m:t>
        </m:r>
        <m:sSub>
          <m:e>
            <m:r>
              <m:t>ϵ</m:t>
            </m:r>
          </m:e>
          <m:sub>
            <m:r>
              <m:t>b</m:t>
            </m:r>
          </m:sub>
        </m:sSub>
        <m:r>
          <m:rPr>
            <m:sty m:val="p"/>
          </m:rPr>
          <m:t>)</m:t>
        </m:r>
      </m:oMath>
      <w:r>
        <w:t xml:space="preserve"> </w:t>
      </w:r>
      <w:r>
        <w:t xml:space="preserve">for</w:t>
      </w:r>
      <w:r>
        <w:t xml:space="preserve"> </w:t>
      </w:r>
      <w:r>
        <w:t xml:space="preserve">biological noise alone; setting</w:t>
      </w:r>
      <w:r>
        <w:t xml:space="preserve"> </w:t>
      </w:r>
      <m:oMath>
        <m:r>
          <m:t>ν</m:t>
        </m:r>
        <m:r>
          <m:rPr>
            <m:sty m:val="p"/>
          </m:rPr>
          <m:t>=</m:t>
        </m:r>
        <m:r>
          <m:t>0</m:t>
        </m:r>
      </m:oMath>
      <w:r>
        <w:t xml:space="preserve"> </w:t>
      </w:r>
      <w:r>
        <w:t xml:space="preserve">gives</w:t>
      </w:r>
      <w:r>
        <w:t xml:space="preserve"> </w:t>
      </w:r>
      <m:oMath>
        <m:sSubSup>
          <m:e>
            <m:r>
              <m:t>y</m:t>
            </m:r>
          </m:e>
          <m:sub>
            <m:r>
              <m:rPr>
                <m:nor/>
                <m:sty m:val="p"/>
              </m:rPr>
              <m:t>true</m:t>
            </m:r>
          </m:sub>
          <m:sup>
            <m:r>
              <m:t>2</m:t>
            </m:r>
          </m:sup>
        </m:sSubSup>
        <m:r>
          <m:t> </m:t>
        </m:r>
        <m:sSup>
          <m:e>
            <m:r>
              <m:t>ε</m:t>
            </m:r>
          </m:e>
          <m:sup>
            <m:r>
              <m:t>2</m:t>
            </m:r>
          </m:sup>
        </m:sSup>
        <m:r>
          <m:rPr>
            <m:sty m:val="p"/>
          </m:rPr>
          <m:t>/</m:t>
        </m:r>
        <m:r>
          <m:t>3</m:t>
        </m:r>
      </m:oMath>
      <w:r>
        <w:t xml:space="preserve">, matching the measurement-noise-only</w:t>
      </w:r>
      <w:r>
        <w:t xml:space="preserve"> </w:t>
      </w:r>
      <w:r>
        <w:t xml:space="preserve">CV derivation (</w:t>
      </w:r>
      <m:oMath>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ε</m:t>
        </m:r>
        <m:r>
          <m:rPr>
            <m:sty m:val="p"/>
          </m:rPr>
          <m:t>/</m:t>
        </m:r>
        <m:rad>
          <m:radPr>
            <m:degHide m:val="on"/>
          </m:radPr>
          <m:deg/>
          <m:e>
            <m:r>
              <m:t>3</m:t>
            </m:r>
          </m:e>
        </m:rad>
      </m:oMath>
      <w:r>
        <w:t xml:space="preserve">).</w:t>
      </w:r>
    </w:p>
    <w:p>
      <w:pPr>
        <w:pStyle w:val="BodyText"/>
      </w:p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conditions on a specific</w:t>
      </w:r>
      <w:r>
        <w:t xml:space="preserve"> </w:t>
      </w:r>
      <w:r>
        <w:t xml:space="preserve">individual’s true concentration. At the population level, even at a fixed</w:t>
      </w:r>
      <w:r>
        <w:t xml:space="preserve"> </w:t>
      </w:r>
      <w:r>
        <w:t xml:space="preserve">time since infection</w:t>
      </w:r>
      <w:r>
        <w:t xml:space="preserve"> </w:t>
      </w:r>
      <m:oMath>
        <m:r>
          <m:t>T</m:t>
        </m:r>
        <m:r>
          <m:rPr>
            <m:sty m:val="p"/>
          </m:rPr>
          <m:t>=</m:t>
        </m:r>
        <m:r>
          <m:t>t</m:t>
        </m:r>
      </m:oMath>
      <w:r>
        <w:t xml:space="preserve">, different individuals have different true</w:t>
      </w:r>
      <w:r>
        <w:t xml:space="preserve"> </w:t>
      </w:r>
      <w:r>
        <w:t xml:space="preserve">antibody concentrations:</w:t>
      </w:r>
      <w:r>
        <w:t xml:space="preserve"> </w:t>
      </w:r>
      <w:r>
        <w:rPr>
          <w:rStyle w:val="VerbatimChar"/>
        </w:rPr>
        <w:t xml:space="preserve">serodynamics</w:t>
      </w:r>
      <w:r>
        <w:t xml:space="preserve"> </w:t>
      </w:r>
      <w:r>
        <w:t xml:space="preserve">returns a posterior</w:t>
      </w:r>
      <w:r>
        <w:t xml:space="preserve"> </w:t>
      </w:r>
      <w:r>
        <w:rPr>
          <w:i/>
          <w:iCs/>
        </w:rPr>
        <w:t xml:space="preserve">sample</w:t>
      </w:r>
      <w:r>
        <w:t xml:space="preserve"> </w:t>
      </w:r>
      <w:r>
        <w:t xml:space="preserve">of</w:t>
      </w:r>
      <w:r>
        <w:t xml:space="preserve"> </w:t>
      </w:r>
      <w:r>
        <w:t xml:space="preserve">curve-parameter sets rather than a single fixed curve, capturing both</w:t>
      </w:r>
      <w:r>
        <w:t xml:space="preserve"> </w:t>
      </w:r>
      <w:r>
        <w:t xml:space="preserve">estimation uncertainty and between-person heterogeneity in the seroresponse</w:t>
      </w:r>
      <w:r>
        <w:t xml:space="preserve"> </w:t>
      </w:r>
      <w:r>
        <w:t xml:space="preserve">(see</w:t>
      </w:r>
      <w:r>
        <w:t xml:space="preserve"> </w:t>
      </w:r>
      <w:r>
        <w:t xml:space="preserve">“Propagating uncertainty and heterogeneity”</w:t>
      </w:r>
      <w:r>
        <w:t xml:space="preserve"> </w:t>
      </w:r>
      <w:r>
        <w:t xml:space="preserve">in the</w:t>
      </w:r>
      <w:r>
        <w:t xml:space="preserve"> </w:t>
      </w:r>
      <w:r>
        <w:rPr>
          <w:rStyle w:val="VerbatimChar"/>
        </w:rPr>
        <w:t xml:space="preserve">methodology</w:t>
      </w:r>
      <w:r>
        <w:t xml:space="preserve"> </w:t>
      </w:r>
      <w:r>
        <w:t xml:space="preserve">vignette). Write</w:t>
      </w:r>
      <w:r>
        <w:t xml:space="preserve"> </w:t>
      </w:r>
      <m:oMath>
        <m:r>
          <m:t>μ</m:t>
        </m:r>
        <m:r>
          <m:rPr>
            <m:sty m:val="p"/>
          </m:rPr>
          <m:t>(</m:t>
        </m:r>
        <m:r>
          <m:t>t</m:t>
        </m:r>
        <m:r>
          <m:rPr>
            <m:sty m:val="p"/>
          </m:rPr>
          <m:t>)</m:t>
        </m:r>
        <m:r>
          <m:rPr>
            <m:sty m:val="p"/>
          </m:rPr>
          <m:t>=</m:t>
        </m:r>
        <m:r>
          <m:t>E</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and</w:t>
      </w:r>
      <w:r>
        <w:t xml:space="preserve"> </w:t>
      </w:r>
      <m:oMath>
        <m:sSup>
          <m:e>
            <m:r>
              <m:t>σ</m:t>
            </m:r>
          </m:e>
          <m:sup>
            <m:r>
              <m:t>2</m:t>
            </m:r>
          </m:sup>
        </m:sSup>
        <m:r>
          <m:rPr>
            <m:sty m:val="p"/>
          </m:rPr>
          <m:t>(</m:t>
        </m:r>
        <m:r>
          <m:t>t</m:t>
        </m:r>
        <m:r>
          <m:rPr>
            <m:sty m:val="p"/>
          </m:rPr>
          <m:t>)</m:t>
        </m:r>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for this heterogeneity.</w:t>
      </w:r>
      <w:r>
        <w:t xml:space="preserve"> </w:t>
      </w:r>
      <w:r>
        <w:t xml:space="preserve">Unlike</w:t>
      </w:r>
      <w:r>
        <w:t xml:space="preserve"> </w:t>
      </w:r>
      <m:oMath>
        <m:sSub>
          <m:e>
            <m:r>
              <m:t>ϵ</m:t>
            </m:r>
          </m:e>
          <m:sub>
            <m:r>
              <m:t>b</m:t>
            </m:r>
          </m:sub>
        </m:sSub>
      </m:oMath>
      <w:r>
        <w:t xml:space="preserve"> </w:t>
      </w:r>
      <w:r>
        <w:t xml:space="preserve">and</w:t>
      </w:r>
      <w:r>
        <w:t xml:space="preserve"> </w:t>
      </w:r>
      <m:oMath>
        <m:r>
          <m:t>ξ</m:t>
        </m:r>
      </m:oMath>
      <w:r>
        <w:t xml:space="preserve">,</w:t>
      </w:r>
      <w:r>
        <w:t xml:space="preserve"> </w:t>
      </w:r>
      <m:oMath>
        <m:sSub>
          <m:e>
            <m:r>
              <m:t>y</m:t>
            </m:r>
          </m:e>
          <m:sub>
            <m:r>
              <m:rPr>
                <m:nor/>
                <m:sty m:val="p"/>
              </m:rPr>
              <m:t>true</m:t>
            </m:r>
          </m:sub>
        </m:sSub>
      </m:oMath>
      <w:r>
        <w:t xml:space="preserve"> </w:t>
      </w:r>
      <w:r>
        <w:t xml:space="preserve">is not a named distribution</w:t>
      </w:r>
      <w:r>
        <w:t xml:space="preserve"> </w:t>
      </w:r>
      <w:r>
        <w:t xml:space="preserve">in this framework – its population distribution is the empirical Monte</w:t>
      </w:r>
      <w:r>
        <w:t xml:space="preserve"> </w:t>
      </w:r>
      <w:r>
        <w:t xml:space="preserve">Carlo sample, not a stated closed form – so</w:t>
      </w:r>
      <w:r>
        <w:t xml:space="preserve"> </w:t>
      </w:r>
      <m:oMath>
        <m:sSup>
          <m:e>
            <m:r>
              <m:t>σ</m:t>
            </m:r>
          </m:e>
          <m:sup>
            <m:r>
              <m:t>2</m:t>
            </m:r>
          </m:sup>
        </m:sSup>
        <m:r>
          <m:rPr>
            <m:sty m:val="p"/>
          </m:rPr>
          <m:t>(</m:t>
        </m:r>
        <m:r>
          <m:t>t</m:t>
        </m:r>
        <m:r>
          <m:rPr>
            <m:sty m:val="p"/>
          </m:rPr>
          <m:t>)</m:t>
        </m:r>
      </m:oMath>
      <w:r>
        <w:t xml:space="preserve"> </w:t>
      </w:r>
      <w:r>
        <w:t xml:space="preserve">has no closed</w:t>
      </w:r>
      <w:r>
        <w:t xml:space="preserve"> </w:t>
      </w:r>
      <w:r>
        <w:t xml:space="preserve">form here and is carried through the derivation symbolically.</w:t>
      </w:r>
    </w:p>
    <w:p>
      <w:pPr>
        <w:pStyle w:val="BodyText"/>
      </w:pPr>
      <w:r>
        <w:t xml:space="preserve">Assuming</w:t>
      </w:r>
      <w:r>
        <w:t xml:space="preserve"> </w:t>
      </w:r>
      <m:oMath>
        <m:sSub>
          <m:e>
            <m:r>
              <m:t>y</m:t>
            </m:r>
          </m:e>
          <m:sub>
            <m:r>
              <m:rPr>
                <m:nor/>
                <m:sty m:val="p"/>
              </m:rPr>
              <m:t>true</m:t>
            </m:r>
          </m:sub>
        </m:sSub>
      </m:oMath>
      <w:r>
        <w:t xml:space="preserve">,</w:t>
      </w:r>
      <w:r>
        <w:t xml:space="preserve"> </w:t>
      </w:r>
      <m:oMath>
        <m:sSub>
          <m:e>
            <m:r>
              <m:t>ϵ</m:t>
            </m:r>
          </m:e>
          <m:sub>
            <m:r>
              <m:t>b</m:t>
            </m:r>
          </m:sub>
        </m:sSub>
      </m:oMath>
      <w:r>
        <w:t xml:space="preserve">, and</w:t>
      </w:r>
      <w:r>
        <w:t xml:space="preserve"> </w:t>
      </w:r>
      <m:oMath>
        <m:r>
          <m:t>ξ</m:t>
        </m:r>
      </m:oMath>
      <w:r>
        <w:t xml:space="preserve"> </w:t>
      </w:r>
      <w:r>
        <w:t xml:space="preserve">are mutually independent</w:t>
      </w:r>
      <w:r>
        <w:t xml:space="preserve"> </w:t>
      </w:r>
      <w:r>
        <w:t xml:space="preserve">given</w:t>
      </w:r>
      <w:r>
        <w:t xml:space="preserve"> </w:t>
      </w:r>
      <m:oMath>
        <m:r>
          <m:t>T</m:t>
        </m:r>
        <m:r>
          <m:rPr>
            <m:sty m:val="p"/>
          </m:rPr>
          <m:t>=</m:t>
        </m:r>
        <m:r>
          <m:t>t</m:t>
        </m:r>
      </m:oMath>
      <w:r>
        <w:t xml:space="preserve">, the law of total variance gives</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oMath>
      </m:oMathPara>
    </w:p>
    <w:p>
      <w:pPr>
        <w:pStyle w:val="FirstParagraph"/>
      </w:pPr>
      <w:r>
        <w:t xml:space="preserve">For the second term,</w:t>
      </w:r>
      <w:r>
        <w:t xml:space="preserve"> </w:t>
      </w:r>
      <m:oMath>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 of</w:t>
      </w:r>
      <w:r>
        <w:t xml:space="preserve"> </w:t>
      </w:r>
      <m:oMath>
        <m:sSub>
          <m:e>
            <m:r>
              <m:t>y</m:t>
            </m:r>
          </m:e>
          <m:sub>
            <m:r>
              <m:rPr>
                <m:nor/>
                <m:sty m:val="p"/>
              </m:rPr>
              <m:t>true</m:t>
            </m:r>
          </m:sub>
        </m:sSub>
      </m:oMath>
      <w:r>
        <w:t xml:space="preserve">), so</w:t>
      </w:r>
    </w:p>
    <w:p>
      <w:pPr>
        <w:pStyle w:val="BodyText"/>
      </w:pPr>
      <m:oMathPara>
        <m:oMathParaPr>
          <m:jc m:val="center"/>
        </m:oMathParaPr>
        <m:oMath>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r>
            <m:rPr>
              <m:sty m:val="p"/>
            </m:rPr>
            <m:t>=</m:t>
          </m:r>
          <m:sSup>
            <m:e>
              <m:r>
                <m:t>σ</m:t>
              </m:r>
            </m:e>
            <m:sup>
              <m:r>
                <m:t>2</m:t>
              </m:r>
            </m:sup>
          </m:sSup>
          <m:r>
            <m:rPr>
              <m:sty m:val="p"/>
            </m:rPr>
            <m:t>(</m:t>
          </m:r>
          <m:r>
            <m:t>t</m:t>
          </m:r>
          <m:r>
            <m:rPr>
              <m:sty m:val="p"/>
            </m:rPr>
            <m:t>)</m:t>
          </m:r>
          <m:r>
            <m:rPr>
              <m:sty m:val="p"/>
            </m:rPr>
            <m:t>.</m:t>
          </m:r>
        </m:oMath>
      </m:oMathPara>
    </w:p>
    <w:p>
      <w:pPr>
        <w:pStyle w:val="FirstParagraph"/>
      </w:pPr>
      <w:r>
        <w:t xml:space="preserve">For the first term, take the expectation of the</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formula derived above over</w:t>
      </w:r>
      <w:r>
        <w:t xml:space="preserve"> </w:t>
      </w:r>
      <m:oMath>
        <m:sSub>
          <m:e>
            <m:r>
              <m:t>y</m:t>
            </m:r>
          </m:e>
          <m:sub>
            <m:r>
              <m:rPr>
                <m:nor/>
                <m:sty m:val="p"/>
              </m:rPr>
              <m:t>true</m:t>
            </m:r>
          </m:sub>
        </m:sSub>
      </m:oMath>
      <w:r>
        <w:t xml:space="preserve">:</w:t>
      </w:r>
    </w:p>
    <w:p>
      <w:pPr>
        <w:pStyle w:val="BodyText"/>
      </w:pPr>
      <m:oMathPara>
        <m:oMathParaPr>
          <m:jc m:val="center"/>
        </m:oMathParaPr>
        <m:oMath>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f>
            <m:fPr>
              <m:type m:val="bar"/>
            </m:fPr>
            <m:num>
              <m:sSup>
                <m:e>
                  <m:r>
                    <m:t>ε</m:t>
                  </m:r>
                </m:e>
                <m:sup>
                  <m:r>
                    <m:t>2</m:t>
                  </m:r>
                </m:sup>
              </m:sSup>
            </m:num>
            <m:den>
              <m:r>
                <m:t>3</m:t>
              </m:r>
            </m:den>
          </m:f>
          <m:r>
            <m:t> </m:t>
          </m:r>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oMath>
      </m:oMathPara>
    </w:p>
    <w:p>
      <w:pPr>
        <w:pStyle w:val="FirstParagraph"/>
      </w:pPr>
      <w:r>
        <w:t xml:space="preserve">Writing</w:t>
      </w:r>
      <w:r>
        <w:t xml:space="preserve"> </w:t>
      </w:r>
      <m:oMath>
        <m:r>
          <m:t>W</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w:t>
      </w:r>
      <w:r>
        <w:t xml:space="preserve"> </w:t>
      </w:r>
      <m:oMath>
        <m:r>
          <m:t>E</m:t>
        </m:r>
        <m:r>
          <m:rPr>
            <m:sty m:val="p"/>
          </m:rPr>
          <m:t>[</m:t>
        </m:r>
        <m:sSup>
          <m:e>
            <m:r>
              <m:t>W</m:t>
            </m:r>
          </m:e>
          <m:sup>
            <m:r>
              <m:t>2</m:t>
            </m:r>
          </m:sup>
        </m:sSup>
        <m:r>
          <m:rPr>
            <m:sty m:val="p"/>
          </m:rPr>
          <m:t>]</m:t>
        </m:r>
        <m:r>
          <m:rPr>
            <m:sty m:val="p"/>
          </m:rPr>
          <m:t>=</m:t>
        </m:r>
        <m:r>
          <m:rPr>
            <m:nor/>
            <m:sty m:val="p"/>
          </m:rPr>
          <m:t>Var</m:t>
        </m:r>
        <m:r>
          <m:rPr>
            <m:sty m:val="p"/>
          </m:rPr>
          <m:t>(</m:t>
        </m:r>
        <m:r>
          <m:t>W</m:t>
        </m:r>
        <m:r>
          <m:rPr>
            <m:sty m:val="p"/>
          </m:rPr>
          <m:t>)</m:t>
        </m:r>
        <m:r>
          <m:rPr>
            <m:sty m:val="p"/>
          </m:rPr>
          <m:t>+</m:t>
        </m:r>
        <m:r>
          <m:t>E</m:t>
        </m:r>
        <m:r>
          <m:rPr>
            <m:sty m:val="p"/>
          </m:rPr>
          <m:t>[</m:t>
        </m:r>
        <m:r>
          <m:t>W</m:t>
        </m:r>
        <m:sSup>
          <m:e>
            <m:r>
              <m:rPr>
                <m:sty m:val="p"/>
              </m:rPr>
              <m:t>]</m:t>
            </m:r>
          </m:e>
          <m:sup>
            <m:r>
              <m:t>2</m:t>
            </m:r>
          </m:sup>
        </m:sSup>
        <m:r>
          <m:rPr>
            <m:sty m:val="p"/>
          </m:rPr>
          <m:t>=</m:t>
        </m:r>
        <m:sSup>
          <m:e>
            <m:r>
              <m:t>σ</m:t>
            </m:r>
          </m:e>
          <m:sup>
            <m:r>
              <m:t>2</m:t>
            </m:r>
          </m:sup>
        </m:sSup>
        <m:r>
          <m:rPr>
            <m:sty m:val="p"/>
          </m:rPr>
          <m:t>(</m:t>
        </m:r>
        <m:r>
          <m:t>t</m:t>
        </m:r>
        <m:r>
          <m:rPr>
            <m:sty m:val="p"/>
          </m:rPr>
          <m:t>)</m:t>
        </m:r>
        <m:r>
          <m:rPr>
            <m:sty m:val="p"/>
          </m:rPr>
          <m:t>+</m:t>
        </m:r>
        <m:r>
          <m:rPr>
            <m:sty m:val="p"/>
          </m:rPr>
          <m:t>(</m:t>
        </m:r>
        <m:r>
          <m:t>μ</m:t>
        </m:r>
        <m:r>
          <m:rPr>
            <m:sty m:val="p"/>
          </m:rPr>
          <m:t>(</m:t>
        </m:r>
        <m:r>
          <m:t>t</m:t>
        </m:r>
        <m:r>
          <m:rPr>
            <m:sty m:val="p"/>
          </m:rPr>
          <m:t>)</m:t>
        </m:r>
        <m:r>
          <m:rPr>
            <m:sty m:val="p"/>
          </m:rPr>
          <m:t>+</m:t>
        </m:r>
        <m:r>
          <m:t>ν</m:t>
        </m:r>
        <m:r>
          <m:rPr>
            <m:sty m:val="p"/>
          </m:rPr>
          <m:t>/</m:t>
        </m:r>
        <m:r>
          <m:t>2</m:t>
        </m:r>
        <m:sSup>
          <m:e>
            <m:r>
              <m:rPr>
                <m:sty m:val="p"/>
              </m:rPr>
              <m:t>)</m:t>
            </m:r>
          </m:e>
          <m:sup>
            <m:r>
              <m:t>2</m:t>
            </m:r>
          </m:sup>
        </m:sSup>
      </m:oMath>
      <w:r>
        <w:t xml:space="preserve">, so</w:t>
      </w:r>
    </w:p>
    <w:p>
      <w:pPr>
        <w:pStyle w:val="BodyText"/>
      </w:pPr>
      <m:oMathPara>
        <m:oMathParaPr>
          <m:jc m:val="center"/>
        </m:oMathParaPr>
        <m:oMath>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sSup>
            <m:e>
              <m:r>
                <m:t>σ</m:t>
              </m:r>
            </m:e>
            <m:sup>
              <m:r>
                <m:t>2</m:t>
              </m:r>
            </m:sup>
          </m:sSup>
          <m:r>
            <m:rPr>
              <m:sty m:val="p"/>
            </m:rPr>
            <m:t>(</m:t>
          </m:r>
          <m:r>
            <m:t>t</m:t>
          </m:r>
          <m:r>
            <m:rPr>
              <m:sty m:val="p"/>
            </m:rPr>
            <m:t>)</m:t>
          </m:r>
          <m:r>
            <m:rPr>
              <m:sty m:val="p"/>
            </m:rPr>
            <m:t>+</m:t>
          </m:r>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Adding the two law-of-total-variance terms together,</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d>
            <m:dPr>
              <m:begChr m:val="("/>
              <m:sepChr m:val=""/>
              <m:endChr m:val=")"/>
              <m:grow/>
            </m:dPr>
            <m:e>
              <m:r>
                <m:t>1</m:t>
              </m:r>
              <m:r>
                <m:rPr>
                  <m:sty m:val="p"/>
                </m:rPr>
                <m:t>+</m:t>
              </m:r>
              <m:f>
                <m:fPr>
                  <m:type m:val="bar"/>
                </m:fPr>
                <m:num>
                  <m:sSup>
                    <m:e>
                      <m:r>
                        <m:t>ε</m:t>
                      </m:r>
                    </m:e>
                    <m:sup>
                      <m:r>
                        <m:t>2</m:t>
                      </m:r>
                    </m:sup>
                  </m:sSup>
                </m:num>
                <m:den>
                  <m:r>
                    <m:t>3</m:t>
                  </m:r>
                </m:den>
              </m:f>
            </m:e>
          </m:d>
          <m:d>
            <m:dPr>
              <m:begChr m:val="["/>
              <m:sepChr m:val=""/>
              <m:endChr m:val="]"/>
              <m:grow/>
            </m:dPr>
            <m:e>
              <m:f>
                <m:fPr>
                  <m:type m:val="bar"/>
                </m:fPr>
                <m:num>
                  <m:sSup>
                    <m:e>
                      <m:r>
                        <m:t>ν</m:t>
                      </m:r>
                    </m:e>
                    <m:sup>
                      <m:r>
                        <m:t>2</m:t>
                      </m:r>
                    </m:sup>
                  </m:sSup>
                </m:num>
                <m:den>
                  <m:r>
                    <m:t>12</m:t>
                  </m:r>
                </m:den>
              </m:f>
              <m:r>
                <m:rPr>
                  <m:sty m:val="p"/>
                </m:rPr>
                <m:t>+</m:t>
              </m:r>
              <m:sSup>
                <m:e>
                  <m:r>
                    <m:t>σ</m:t>
                  </m:r>
                </m:e>
                <m:sup>
                  <m:r>
                    <m:t>2</m:t>
                  </m:r>
                </m:sup>
              </m:sSup>
              <m:r>
                <m:rPr>
                  <m:sty m:val="p"/>
                </m:rPr>
                <m:t>(</m:t>
              </m:r>
              <m:r>
                <m:t>t</m:t>
              </m:r>
              <m:r>
                <m:rPr>
                  <m:sty m:val="p"/>
                </m:rPr>
                <m:t>)</m:t>
              </m:r>
            </m:e>
          </m:d>
          <m:r>
            <m:rPr>
              <m:sty m:val="p"/>
            </m:rPr>
            <m:t>+</m:t>
          </m:r>
          <m:f>
            <m:fPr>
              <m:type m:val="bar"/>
            </m:fPr>
            <m:num>
              <m:sSup>
                <m:e>
                  <m:r>
                    <m:t>ε</m:t>
                  </m:r>
                </m:e>
                <m:sup>
                  <m:r>
                    <m:t>2</m:t>
                  </m:r>
                </m:sup>
              </m:sSup>
            </m:num>
            <m:den>
              <m:r>
                <m:t>3</m:t>
              </m:r>
            </m:den>
          </m:f>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This has the same functional form as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above, with</w:t>
      </w:r>
      <w:r>
        <w:t xml:space="preserve"> </w:t>
      </w:r>
      <m:oMath>
        <m:sSub>
          <m:e>
            <m:r>
              <m:t>y</m:t>
            </m:r>
          </m:e>
          <m:sub>
            <m:r>
              <m:rPr>
                <m:nor/>
                <m:sty m:val="p"/>
              </m:rPr>
              <m:t>true</m:t>
            </m:r>
          </m:sub>
        </m:sSub>
      </m:oMath>
      <w:r>
        <w:t xml:space="preserve"> </w:t>
      </w:r>
      <w:r>
        <w:t xml:space="preserve">replaced by its conditional</w:t>
      </w:r>
      <w:r>
        <w:t xml:space="preserve"> </w:t>
      </w:r>
      <w:r>
        <w:t xml:space="preserve">mean</w:t>
      </w:r>
      <w:r>
        <w:t xml:space="preserve"> </w:t>
      </w:r>
      <m:oMath>
        <m:r>
          <m:t>μ</m:t>
        </m:r>
        <m:r>
          <m:rPr>
            <m:sty m:val="p"/>
          </m:rPr>
          <m:t>(</m:t>
        </m:r>
        <m:r>
          <m:t>t</m:t>
        </m:r>
        <m:r>
          <m:rPr>
            <m:sty m:val="p"/>
          </m:rPr>
          <m:t>)</m:t>
        </m:r>
      </m:oMath>
      <w:r>
        <w:t xml:space="preserve"> </w:t>
      </w:r>
      <w:r>
        <w:t xml:space="preserve">and an extra between-person heterogeneity term</w:t>
      </w:r>
      <w:r>
        <w:t xml:space="preserve"> </w:t>
      </w:r>
      <m:oMath>
        <m:sSup>
          <m:e>
            <m:r>
              <m:t>σ</m:t>
            </m:r>
          </m:e>
          <m:sup>
            <m:r>
              <m:t>2</m:t>
            </m:r>
          </m:sup>
        </m:sSup>
        <m:r>
          <m:rPr>
            <m:sty m:val="p"/>
          </m:rPr>
          <m:t>(</m:t>
        </m:r>
        <m:r>
          <m:t>t</m:t>
        </m:r>
        <m:r>
          <m:rPr>
            <m:sty m:val="p"/>
          </m:rPr>
          <m:t>)</m:t>
        </m:r>
      </m:oMath>
      <w:r>
        <w:t xml:space="preserve"> </w:t>
      </w:r>
      <w:r>
        <w:t xml:space="preserve">added alongside the biological-noise variance</w:t>
      </w:r>
      <w:r>
        <w:t xml:space="preserve"> </w:t>
      </w:r>
      <m:oMath>
        <m:sSup>
          <m:e>
            <m:r>
              <m:t>ν</m:t>
            </m:r>
          </m:e>
          <m:sup>
            <m:r>
              <m:t>2</m:t>
            </m:r>
          </m:sup>
        </m:sSup>
        <m:r>
          <m:rPr>
            <m:sty m:val="p"/>
          </m:rPr>
          <m:t>/</m:t>
        </m:r>
        <m:r>
          <m:t>12</m:t>
        </m:r>
      </m:oMath>
      <w:r>
        <w:t xml:space="preserve">. As a check,</w:t>
      </w:r>
      <w:r>
        <w:t xml:space="preserve"> </w:t>
      </w:r>
      <w:r>
        <w:t xml:space="preserve">setting</w:t>
      </w:r>
      <w:r>
        <w:t xml:space="preserve"> </w:t>
      </w:r>
      <m:oMath>
        <m:sSup>
          <m:e>
            <m:r>
              <m:t>σ</m:t>
            </m:r>
          </m:e>
          <m:sup>
            <m:r>
              <m:t>2</m:t>
            </m:r>
          </m:sup>
        </m:sSup>
        <m:r>
          <m:rPr>
            <m:sty m:val="p"/>
          </m:rPr>
          <m:t>(</m:t>
        </m:r>
        <m:r>
          <m:t>t</m:t>
        </m:r>
        <m:r>
          <m:rPr>
            <m:sty m:val="p"/>
          </m:rPr>
          <m:t>)</m:t>
        </m:r>
        <m:r>
          <m:rPr>
            <m:sty m:val="p"/>
          </m:rPr>
          <m:t>=</m:t>
        </m:r>
        <m:r>
          <m:t>0</m:t>
        </m:r>
      </m:oMath>
      <w:r>
        <w:t xml:space="preserve"> </w:t>
      </w:r>
      <w:r>
        <w:t xml:space="preserve">(no heterogeneity, a single fixed curve so</w:t>
      </w:r>
      <w:r>
        <w:t xml:space="preserve"> </w:t>
      </w:r>
      <m:oMath>
        <m:sSub>
          <m:e>
            <m:r>
              <m:t>y</m:t>
            </m:r>
          </m:e>
          <m:sub>
            <m:r>
              <m:rPr>
                <m:nor/>
                <m:sty m:val="p"/>
              </m:rPr>
              <m:t>true</m:t>
            </m:r>
          </m:sub>
        </m:sSub>
        <m:r>
          <m:rPr>
            <m:sty m:val="p"/>
          </m:rPr>
          <m:t>=</m:t>
        </m:r>
        <m:r>
          <m:t>μ</m:t>
        </m:r>
        <m:r>
          <m:rPr>
            <m:sty m:val="p"/>
          </m:rPr>
          <m:t>(</m:t>
        </m:r>
        <m:r>
          <m:t>t</m:t>
        </m:r>
        <m:r>
          <m:rPr>
            <m:sty m:val="p"/>
          </m:rPr>
          <m:t>)</m:t>
        </m:r>
      </m:oMath>
      <w:r>
        <w:t xml:space="preserve"> </w:t>
      </w:r>
      <w:r>
        <w:t xml:space="preserve">with certainty) recovers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t>μ</m:t>
        </m:r>
        <m:r>
          <m:rPr>
            <m:sty m:val="p"/>
          </m:rPr>
          <m:t>(</m:t>
        </m:r>
        <m:r>
          <m:t>t</m:t>
        </m:r>
        <m:r>
          <m:rPr>
            <m:sty m:val="p"/>
          </m:rPr>
          <m:t>)</m:t>
        </m:r>
        <m:r>
          <m:rPr>
            <m:sty m:val="p"/>
          </m:rPr>
          <m:t>)</m:t>
        </m:r>
      </m:oMath>
      <w:r>
        <w:t xml:space="preserve"> </w:t>
      </w:r>
      <w:r>
        <w:t xml:space="preserve">exactly, as expected.</w:t>
      </w:r>
    </w:p>
    <w:bookmarkEnd w:id="93"/>
    <w:bookmarkStart w:id="94" w:name="noise-and-never-infected-subjects"/>
    <w:p>
      <w:pPr>
        <w:pStyle w:val="Heading2"/>
      </w:pPr>
      <w:r>
        <w:t xml:space="preserve">5.9 Noise and never-infected subjects</w:t>
      </w:r>
    </w:p>
    <w:p>
      <w:pPr>
        <w:pStyle w:val="FirstParagraph"/>
      </w:pPr>
      <w:r>
        <w:t xml:space="preserve">A subject who has never been infected has</w:t>
      </w:r>
      <w:r>
        <w:t xml:space="preserve"> </w:t>
      </w:r>
      <w:r>
        <w:t xml:space="preserve">true antibody concentration</w:t>
      </w:r>
      <w:r>
        <w:t xml:space="preserve"> </w:t>
      </w:r>
      <m:oMath>
        <m:sSub>
          <m:e>
            <m:r>
              <m:t>y</m:t>
            </m:r>
          </m:e>
          <m:sub>
            <m:r>
              <m:rPr>
                <m:nor/>
                <m:sty m:val="p"/>
              </m:rPr>
              <m:t>true</m:t>
            </m:r>
          </m:sub>
        </m:sSub>
        <m:r>
          <m:rPr>
            <m:sty m:val="p"/>
          </m:rPr>
          <m:t>=</m:t>
        </m:r>
        <m:r>
          <m:t>0</m:t>
        </m:r>
      </m:oMath>
      <w:r>
        <w:t xml:space="preserve">;</w:t>
      </w:r>
      <w:r>
        <w:t xml:space="preserve"> </w:t>
      </w:r>
      <w:r>
        <w:t xml:space="preserve">the probability of never having been infected by age</w:t>
      </w:r>
      <w:r>
        <w:t xml:space="preserve"> </w:t>
      </w:r>
      <m:oMath>
        <m:r>
          <m:t>a</m:t>
        </m:r>
      </m:oMath>
      <w:r>
        <w:t xml:space="preserve"> </w:t>
      </w:r>
      <w:r>
        <w:t xml:space="preserve">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The two noise sources treat such a subject very differently</w:t>
      </w:r>
      <w:r>
        <w:t xml:space="preserve"> </w:t>
      </w:r>
      <w:r>
        <w:t xml:space="preserve">(Teunis and Eijkeren 2020)</w:t>
      </w:r>
      <w:r>
        <w:t xml:space="preserve">:</w:t>
      </w:r>
    </w:p>
    <w:p>
      <w:pPr>
        <w:numPr>
          <w:ilvl w:val="0"/>
          <w:numId w:val="1037"/>
        </w:numPr>
      </w:pPr>
      <w:r>
        <w:rPr>
          <w:b/>
          <w:bCs/>
        </w:rPr>
        <w:t xml:space="preserve">Biological noise is additive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r>
        <w:t xml:space="preserve"> </w:t>
      </w:r>
      <w:r>
        <w:t xml:space="preserve">Cross-reactivity can register a positive signal</w:t>
      </w:r>
      <w:r>
        <w:t xml:space="preserve"> </w:t>
      </w:r>
      <w:r>
        <w:t xml:space="preserve">even when there was no true response,</w:t>
      </w:r>
      <w:r>
        <w:t xml:space="preserve"> </w:t>
      </w:r>
      <w:r>
        <w:t xml:space="preserve">so never-infected subjects still contribute</w:t>
      </w:r>
      <w:r>
        <w:t xml:space="preserve"> </w:t>
      </w:r>
      <w:r>
        <w:t xml:space="preserve">a spread-out distribution of small positive values,</w:t>
      </w:r>
      <w:r>
        <w:t xml:space="preserve"> </w:t>
      </w:r>
      <w:r>
        <w:t xml:space="preserve">not a single spike at zero.</w:t>
      </w:r>
    </w:p>
    <w:p>
      <w:pPr>
        <w:numPr>
          <w:ilvl w:val="0"/>
          <w:numId w:val="1037"/>
        </w:numPr>
      </w:pPr>
      <w:r>
        <w:rPr>
          <w:b/>
          <w:bCs/>
        </w:rPr>
        <w:t xml:space="preserve">Measurement noise is multiplicative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r>
          <m:rPr>
            <m:sty m:val="p"/>
          </m:rPr>
          <m:t>(</m:t>
        </m:r>
        <m:r>
          <m:t>1</m:t>
        </m:r>
        <m:r>
          <m:rPr>
            <m:sty m:val="p"/>
          </m:rPr>
          <m:t>+</m:t>
        </m:r>
        <m:r>
          <m:t>ξ</m:t>
        </m:r>
        <m:r>
          <m:rPr>
            <m:sty m:val="p"/>
          </m:rPr>
          <m:t>)</m:t>
        </m:r>
        <m:r>
          <m:rPr>
            <m:sty m:val="p"/>
          </m:rPr>
          <m:t>=</m:t>
        </m:r>
        <m:r>
          <m:t>0</m:t>
        </m:r>
      </m:oMath>
      <w:r>
        <w:t xml:space="preserve">.</w:t>
      </w:r>
      <w:r>
        <w:t xml:space="preserve"> </w:t>
      </w:r>
      <w:r>
        <w:t xml:space="preserve">A relative error cannot move a true zero,</w:t>
      </w:r>
      <w:r>
        <w:t xml:space="preserve"> </w:t>
      </w:r>
      <w:r>
        <w:t xml:space="preserve">so measurement noise alone leaves these subjects exactly at zero.</w:t>
      </w:r>
    </w:p>
    <w:p>
      <w:pPr>
        <w:pStyle w:val="FirstParagraph"/>
      </w:pPr>
      <w:r>
        <w:t xml:space="preserve">So the probability mass at</w:t>
      </w:r>
      <w:r>
        <w:t xml:space="preserve"> </w:t>
      </w:r>
      <m:oMath>
        <m:r>
          <m:t>y</m:t>
        </m:r>
        <m:r>
          <m:rPr>
            <m:sty m:val="p"/>
          </m:rPr>
          <m:t>=</m:t>
        </m:r>
        <m:r>
          <m:t>0</m:t>
        </m:r>
      </m:oMath>
      <w:r>
        <w:t xml:space="preserve"> </w:t>
      </w:r>
      <w:r>
        <w:t xml:space="preserve">from never-infected subjects</w:t>
      </w:r>
      <w:r>
        <w:t xml:space="preserve"> </w:t>
      </w:r>
      <w:r>
        <w:t xml:space="preserve">(with weight</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survives measurement noise</w:t>
      </w:r>
      <w:r>
        <w:t xml:space="preserve"> </w:t>
      </w:r>
      <w:r>
        <w:t xml:space="preserve">but is smeared into small positive values by biological noise.</w:t>
      </w:r>
      <w:r>
        <w:t xml:space="preserve"> </w:t>
      </w:r>
      <w:r>
        <w:t xml:space="preserve">This also explains why the biological-noise width</w:t>
      </w:r>
      <w:r>
        <w:t xml:space="preserve"> </w:t>
      </w:r>
      <m:oMath>
        <m:r>
          <m:t>ν</m:t>
        </m:r>
      </m:oMath>
      <w:r>
        <w:t xml:space="preserve"> </w:t>
      </w:r>
      <w:r>
        <w:t xml:space="preserve">can be estimated from a known unexposed population:</w:t>
      </w:r>
      <w:r>
        <w:t xml:space="preserve"> </w:t>
      </w:r>
      <w:r>
        <w:t xml:space="preserve">those subjects are essentially all never-infected,</w:t>
      </w:r>
      <w:r>
        <w:t xml:space="preserve"> </w:t>
      </w:r>
      <w:r>
        <w:t xml:space="preserve">so their measured antibody levels are, to good approximation,</w:t>
      </w:r>
      <w:r>
        <w:t xml:space="preserve"> </w:t>
      </w:r>
      <w:r>
        <w:t xml:space="preserve">draws from the biological-noise distribution itself.</w:t>
      </w:r>
    </w:p>
    <w:p>
      <w:pPr>
        <w:pStyle w:val="BodyText"/>
      </w:pPr>
      <w:r>
        <w:rPr>
          <w:b/>
          <w:bCs/>
        </w:rPr>
        <w:t xml:space="preserve">Under both noise sources together</w:t>
      </w:r>
      <w:r>
        <w:t xml:space="preserve">, the never-infected contribution</w:t>
      </w:r>
      <w:r>
        <w:t xml:space="preserve"> </w:t>
      </w:r>
      <w:r>
        <w:t xml:space="preserve">is neither of these two single-source shapes.</w:t>
      </w:r>
      <w:r>
        <w:t xml:space="preserve"> </w:t>
      </w:r>
      <w:r>
        <w:t xml:space="preserve">Substituting</w:t>
      </w:r>
      <w:r>
        <w:t xml:space="preserve"> </w:t>
      </w:r>
      <m:oMath>
        <m:sSub>
          <m:e>
            <m:r>
              <m:t>y</m:t>
            </m:r>
          </m:e>
          <m:sub>
            <m:r>
              <m:rPr>
                <m:nor/>
                <m:sty m:val="p"/>
              </m:rPr>
              <m:t>true</m:t>
            </m:r>
          </m:sub>
        </m:sSub>
        <m:r>
          <m:rPr>
            <m:sty m:val="p"/>
          </m:rPr>
          <m:t>=</m:t>
        </m:r>
        <m:r>
          <m:t>0</m:t>
        </m:r>
      </m:oMath>
      <w:r>
        <w:t xml:space="preserve"> </w:t>
      </w:r>
      <w:r>
        <w:t xml:space="preserve">into the combined model gives</w:t>
      </w:r>
    </w:p>
    <w:p>
      <w:pPr>
        <w:pStyle w:val="BodyText"/>
      </w:pPr>
      <m:oMathPara>
        <m:oMathParaPr>
          <m:jc m:val="center"/>
        </m:oMathParaPr>
        <m:oMath>
          <m:sSub>
            <m:e>
              <m:r>
                <m:t>y</m:t>
              </m:r>
            </m:e>
            <m:sub>
              <m:r>
                <m:rPr>
                  <m:nor/>
                  <m:sty m:val="p"/>
                </m:rPr>
                <m:t>obs</m:t>
              </m:r>
            </m:sub>
          </m:sSub>
          <m:r>
            <m:rPr>
              <m:sty m:val="p"/>
            </m:rPr>
            <m:t>=</m:t>
          </m:r>
          <m:sSub>
            <m:e>
              <m:r>
                <m:t>ϵ</m:t>
              </m:r>
            </m:e>
            <m:sub>
              <m:r>
                <m:t>b</m:t>
              </m:r>
            </m:sub>
          </m:sSub>
          <m:r>
            <m:rPr>
              <m:sty m:val="p"/>
            </m:rPr>
            <m:t>(</m:t>
          </m:r>
          <m:r>
            <m:t>1</m:t>
          </m:r>
          <m:r>
            <m:rPr>
              <m:sty m:val="p"/>
            </m:rPr>
            <m:t>+</m:t>
          </m:r>
          <m:r>
            <m:t>ξ</m:t>
          </m:r>
          <m:r>
            <m:rPr>
              <m:sty m:val="p"/>
            </m:rPr>
            <m:t>)</m:t>
          </m:r>
          <m:r>
            <m:rPr>
              <m:sty m:val="p"/>
            </m:rPr>
            <m:t>,</m:t>
          </m:r>
          <m:r>
            <m:t>  </m:t>
          </m:r>
          <m:sSub>
            <m:e>
              <m:r>
                <m:t>ϵ</m:t>
              </m:r>
            </m:e>
            <m:sub>
              <m:r>
                <m:t>b</m:t>
              </m:r>
            </m:sub>
          </m:sSub>
          <m:r>
            <m:rPr>
              <m:sty m:val="p"/>
            </m:rPr>
            <m:t>∼</m:t>
          </m:r>
          <m:r>
            <m:rPr>
              <m:nor/>
              <m:sty m:val="p"/>
            </m:rPr>
            <m:t>Unif</m:t>
          </m:r>
          <m:r>
            <m:rPr>
              <m:sty m:val="p"/>
            </m:rPr>
            <m:t>(</m:t>
          </m:r>
          <m:r>
            <m:t>0</m:t>
          </m:r>
          <m:r>
            <m:rPr>
              <m:sty m:val="p"/>
            </m:rPr>
            <m:t>,</m:t>
          </m:r>
          <m:r>
            <m:t>ν</m:t>
          </m:r>
          <m:r>
            <m:rPr>
              <m:sty m:val="p"/>
            </m:rPr>
            <m:t>)</m:t>
          </m:r>
          <m:r>
            <m:rPr>
              <m:sty m:val="p"/>
            </m:rPr>
            <m:t>,</m:t>
          </m:r>
          <m:r>
            <m:t> </m:t>
          </m:r>
          <m:r>
            <m:t>ξ</m:t>
          </m:r>
          <m:r>
            <m:rPr>
              <m:sty m:val="p"/>
            </m:rPr>
            <m:t>∼</m:t>
          </m:r>
          <m:r>
            <m:rPr>
              <m:nor/>
              <m:sty m:val="p"/>
            </m:rPr>
            <m:t>Unif</m:t>
          </m:r>
          <m:r>
            <m:rPr>
              <m:sty m:val="p"/>
            </m:rPr>
            <m:t>(</m:t>
          </m:r>
          <m:r>
            <m:rPr>
              <m:sty m:val="p"/>
            </m:rPr>
            <m:t>−</m:t>
          </m:r>
          <m:r>
            <m:t>ε</m:t>
          </m:r>
          <m:r>
            <m:rPr>
              <m:sty m:val="p"/>
            </m:rPr>
            <m:t>,</m:t>
          </m:r>
          <m:r>
            <m:t>ε</m:t>
          </m:r>
          <m:r>
            <m:rPr>
              <m:sty m:val="p"/>
            </m:rPr>
            <m:t>)</m:t>
          </m:r>
          <m:r>
            <m:rPr>
              <m:sty m:val="p"/>
            </m:rPr>
            <m:t>,</m:t>
          </m:r>
        </m:oMath>
      </m:oMathPara>
    </w:p>
    <w:p>
      <w:pPr>
        <w:pStyle w:val="FirstParagraph"/>
      </w:pPr>
      <w:r>
        <w:t xml:space="preserve">a product of two independent uniform random variables, not itself</w:t>
      </w:r>
      <w:r>
        <w:t xml:space="preserve"> </w:t>
      </w:r>
      <w:r>
        <w:t xml:space="preserve">uniform. Following the same conditioning argument Teunis and van</w:t>
      </w:r>
      <w:r>
        <w:t xml:space="preserve"> </w:t>
      </w:r>
      <w:r>
        <w:t xml:space="preserve">Eijkeren use to derive their combined-noise density</w:t>
      </w:r>
      <w:r>
        <w:t xml:space="preserve"> </w:t>
      </w:r>
      <w:r>
        <w:t xml:space="preserve">(Teunis and Eijkeren 2020)</w:t>
      </w:r>
      <w:r>
        <w:t xml:space="preserve">,</w:t>
      </w:r>
      <w:r>
        <w:t xml:space="preserve"> </w:t>
      </w:r>
      <w:r>
        <w:t xml:space="preserve">its density (the never-infected contribution to the overall observed</w:t>
      </w:r>
      <w:r>
        <w:t xml:space="preserve"> </w:t>
      </w:r>
      <w:r>
        <w:t xml:space="preserve">density, including the never-infected weight</w:t>
      </w:r>
      <w:r>
        <w:t xml:space="preserve"> </w:t>
      </w:r>
      <m:oMath>
        <m:r>
          <m:rPr>
            <m:sty m:val="p"/>
          </m:rPr>
          <m:t>exp</m:t>
        </m:r>
        <m:r>
          <m:t>​</m:t>
        </m:r>
        <m:d>
          <m:dPr>
            <m:begChr m:val="{"/>
            <m:sepChr m:val=""/>
            <m:endChr m:val="}"/>
            <m:grow/>
          </m:dPr>
          <m:e>
            <m:r>
              <m:rPr>
                <m:sty m:val="p"/>
              </m:rPr>
              <m:t>−</m:t>
            </m:r>
            <m:r>
              <m:t>λ</m:t>
            </m:r>
            <m:r>
              <m:t>a</m:t>
            </m:r>
          </m:e>
        </m:d>
        <m:r>
          <m:t>​</m:t>
        </m:r>
      </m:oMath>
      <w:r>
        <w:t xml:space="preserve">) is</w:t>
      </w:r>
    </w:p>
    <w:p>
      <w:pPr>
        <w:pStyle w:val="BodyText"/>
      </w:pPr>
      <m:oMathPara>
        <m:oMathParaPr>
          <m:jc m:val="center"/>
        </m:oMathParaPr>
        <m:oMath>
          <m:sSub>
            <m:e>
              <m:r>
                <m:t>ρ</m:t>
              </m:r>
            </m:e>
            <m:sub>
              <m:r>
                <m:t>b</m:t>
              </m:r>
              <m:r>
                <m:t>m</m:t>
              </m:r>
            </m:sub>
          </m:sSub>
          <m:r>
            <m:rPr>
              <m:sty m:val="p"/>
            </m:rPr>
            <m:t>(</m:t>
          </m:r>
          <m:r>
            <m:t>y</m:t>
          </m:r>
          <m:r>
            <m:rPr>
              <m:sty m:val="p"/>
            </m:rPr>
            <m:t>∣</m:t>
          </m:r>
          <m:r>
            <m:rPr>
              <m:nor/>
              <m:sty m:val="p"/>
            </m:rPr>
            <m:t>never-infected</m:t>
          </m:r>
          <m:r>
            <m:rPr>
              <m:sty m:val="p"/>
            </m:rPr>
            <m:t>)</m:t>
          </m:r>
          <m:r>
            <m:rPr>
              <m:sty m:val="p"/>
            </m:rPr>
            <m:t>=</m:t>
          </m:r>
          <m:d>
            <m:dPr>
              <m:begChr m:val="{"/>
              <m:sepChr m:val=""/>
              <m:endChr m:val=""/>
              <m:grow/>
            </m:dPr>
            <m:e>
              <m:m>
                <m:mPr>
                  <m:baseJc m:val="center"/>
                  <m:plcHide m:val="on"/>
                  <m:mcs>
                    <m:mc>
                      <m:mcPr>
                        <m:mcJc m:val="left"/>
                        <m:count m:val="1"/>
                      </m:mcPr>
                    </m:mc>
                    <m:mc>
                      <m:mcPr>
                        <m:mcJc m:val="left"/>
                        <m:count m:val="1"/>
                      </m:mcPr>
                    </m:mc>
                  </m:mcs>
                </m:mP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1</m:t>
                            </m:r>
                            <m:r>
                              <m:rPr>
                                <m:sty m:val="p"/>
                              </m:rPr>
                              <m:t>+</m:t>
                            </m:r>
                            <m:r>
                              <m:t>ε</m:t>
                            </m:r>
                          </m:num>
                          <m:den>
                            <m:r>
                              <m:t>1</m:t>
                            </m:r>
                            <m:r>
                              <m:rPr>
                                <m:sty m:val="p"/>
                              </m:rPr>
                              <m:t>−</m:t>
                            </m:r>
                            <m:r>
                              <m:t>ε</m:t>
                            </m:r>
                          </m:den>
                        </m:f>
                      </m:e>
                    </m:d>
                  </m:e>
                  <m:e>
                    <m:r>
                      <m:t>0</m:t>
                    </m:r>
                    <m:r>
                      <m:rPr>
                        <m:sty m:val="p"/>
                      </m:rPr>
                      <m:t>&lt;</m:t>
                    </m:r>
                    <m:r>
                      <m:t>y</m:t>
                    </m:r>
                    <m:r>
                      <m:rPr>
                        <m:sty m:val="p"/>
                      </m:rPr>
                      <m:t>≤</m:t>
                    </m:r>
                    <m:r>
                      <m:t>ν</m:t>
                    </m:r>
                    <m:r>
                      <m:rPr>
                        <m:sty m:val="p"/>
                      </m:rPr>
                      <m:t>(</m:t>
                    </m:r>
                    <m:r>
                      <m:t>1</m:t>
                    </m:r>
                    <m:r>
                      <m:rPr>
                        <m:sty m:val="p"/>
                      </m:rPr>
                      <m:t>−</m:t>
                    </m:r>
                    <m:r>
                      <m:t>ε</m:t>
                    </m:r>
                    <m:r>
                      <m:rPr>
                        <m:sty m:val="p"/>
                      </m:rPr>
                      <m:t>)</m:t>
                    </m:r>
                  </m:e>
                </m:m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ν</m:t>
                            </m:r>
                            <m:r>
                              <m:rPr>
                                <m:sty m:val="p"/>
                              </m:rPr>
                              <m:t>(</m:t>
                            </m:r>
                            <m:r>
                              <m:t>1</m:t>
                            </m:r>
                            <m:r>
                              <m:rPr>
                                <m:sty m:val="p"/>
                              </m:rPr>
                              <m:t>+</m:t>
                            </m:r>
                            <m:r>
                              <m:t>ε</m:t>
                            </m:r>
                            <m:r>
                              <m:rPr>
                                <m:sty m:val="p"/>
                              </m:rPr>
                              <m:t>)</m:t>
                            </m:r>
                          </m:num>
                          <m:den>
                            <m:r>
                              <m:t>y</m:t>
                            </m:r>
                          </m:den>
                        </m:f>
                      </m:e>
                    </m:d>
                  </m:e>
                  <m:e>
                    <m:r>
                      <m:t>ν</m:t>
                    </m:r>
                    <m:r>
                      <m:rPr>
                        <m:sty m:val="p"/>
                      </m:rPr>
                      <m:t>(</m:t>
                    </m:r>
                    <m:r>
                      <m:t>1</m:t>
                    </m:r>
                    <m:r>
                      <m:rPr>
                        <m:sty m:val="p"/>
                      </m:rPr>
                      <m:t>−</m:t>
                    </m:r>
                    <m:r>
                      <m:t>ε</m:t>
                    </m:r>
                    <m:r>
                      <m:rPr>
                        <m:sty m:val="p"/>
                      </m:rPr>
                      <m:t>)</m:t>
                    </m:r>
                    <m:r>
                      <m:rPr>
                        <m:sty m:val="p"/>
                      </m:rPr>
                      <m:t>&lt;</m:t>
                    </m:r>
                    <m:r>
                      <m:t>y</m:t>
                    </m:r>
                    <m:r>
                      <m:rPr>
                        <m:sty m:val="p"/>
                      </m:rPr>
                      <m:t>&lt;</m:t>
                    </m:r>
                    <m:r>
                      <m:t>ν</m:t>
                    </m:r>
                    <m:r>
                      <m:rPr>
                        <m:sty m:val="p"/>
                      </m:rPr>
                      <m:t>(</m:t>
                    </m:r>
                    <m:r>
                      <m:t>1</m:t>
                    </m:r>
                    <m:r>
                      <m:rPr>
                        <m:sty m:val="p"/>
                      </m:rPr>
                      <m:t>+</m:t>
                    </m:r>
                    <m:r>
                      <m:t>ε</m:t>
                    </m:r>
                    <m:r>
                      <m:rPr>
                        <m:sty m:val="p"/>
                      </m:rPr>
                      <m:t>)</m:t>
                    </m:r>
                  </m:e>
                </m:mr>
                <m:mr>
                  <m:e>
                    <m:r>
                      <m:t>0</m:t>
                    </m:r>
                  </m:e>
                  <m:e>
                    <m:r>
                      <m:t>y</m:t>
                    </m:r>
                    <m:r>
                      <m:rPr>
                        <m:sty m:val="p"/>
                      </m:rPr>
                      <m:t>≥</m:t>
                    </m:r>
                    <m:r>
                      <m:t>ν</m:t>
                    </m:r>
                    <m:r>
                      <m:rPr>
                        <m:sty m:val="p"/>
                      </m:rPr>
                      <m:t>(</m:t>
                    </m:r>
                    <m:r>
                      <m:t>1</m:t>
                    </m:r>
                    <m:r>
                      <m:rPr>
                        <m:sty m:val="p"/>
                      </m:rPr>
                      <m:t>+</m:t>
                    </m:r>
                    <m:r>
                      <m:t>ε</m:t>
                    </m:r>
                    <m:r>
                      <m:rPr>
                        <m:sty m:val="p"/>
                      </m:rPr>
                      <m:t>)</m:t>
                    </m:r>
                  </m:e>
                </m:mr>
              </m:m>
            </m:e>
          </m:d>
        </m:oMath>
      </m:oMathPara>
    </w:p>
    <w:p>
      <w:pPr>
        <w:pStyle w:val="FirstParagraph"/>
      </w:pPr>
      <w:r>
        <w:t xml:space="preserve">The first piece matches Teunis and van Eijkeren’s Equation 19: it is</w:t>
      </w:r>
      <w:r>
        <w:t xml:space="preserve"> </w:t>
      </w:r>
      <w:r>
        <w:t xml:space="preserve">flat (constant in</w:t>
      </w:r>
      <w:r>
        <w:t xml:space="preserve"> </w:t>
      </w:r>
      <m:oMath>
        <m:r>
          <m:t>y</m:t>
        </m:r>
      </m:oMath>
      <w:r>
        <w:t xml:space="preserve">) over most of its support, then tapers to zero</w:t>
      </w:r>
      <w:r>
        <w:t xml:space="preserve"> </w:t>
      </w:r>
      <w:r>
        <w:t xml:space="preserve">by</w:t>
      </w:r>
      <w:r>
        <w:t xml:space="preserve"> </w:t>
      </w:r>
      <m:oMath>
        <m:r>
          <m:t>y</m:t>
        </m:r>
        <m:r>
          <m:rPr>
            <m:sty m:val="p"/>
          </m:rPr>
          <m:t>=</m:t>
        </m:r>
        <m:r>
          <m:t>ν</m:t>
        </m:r>
        <m:r>
          <m:rPr>
            <m:sty m:val="p"/>
          </m:rPr>
          <m:t>(</m:t>
        </m:r>
        <m:r>
          <m:t>1</m:t>
        </m:r>
        <m:r>
          <m:rPr>
            <m:sty m:val="p"/>
          </m:rPr>
          <m:t>+</m:t>
        </m:r>
        <m:r>
          <m:t>ε</m:t>
        </m:r>
        <m:r>
          <m:rPr>
            <m:sty m:val="p"/>
          </m:rPr>
          <m:t>)</m:t>
        </m:r>
      </m:oMath>
      <w:r>
        <w:t xml:space="preserve">.</w:t>
      </w:r>
      <w:r>
        <w:t xml:space="preserve"> </w:t>
      </w:r>
      <w:r>
        <w:t xml:space="preserve">Integrating both pieces over their full range recovers exactly</w:t>
      </w:r>
      <w:r>
        <w:t xml:space="preserve"> </w:t>
      </w:r>
      <m:oMath>
        <m:r>
          <m:rPr>
            <m:sty m:val="p"/>
          </m:rPr>
          <m:t>exp</m:t>
        </m:r>
        <m:r>
          <m:t>​</m:t>
        </m:r>
        <m:d>
          <m:dPr>
            <m:begChr m:val="{"/>
            <m:sepChr m:val=""/>
            <m:endChr m:val="}"/>
            <m:grow/>
          </m:dPr>
          <m:e>
            <m:r>
              <m:rPr>
                <m:sty m:val="p"/>
              </m:rPr>
              <m:t>−</m:t>
            </m:r>
            <m:r>
              <m:t>λ</m:t>
            </m:r>
            <m:r>
              <m:t>a</m:t>
            </m:r>
          </m:e>
        </m:d>
        <m:r>
          <m:t>​</m:t>
        </m:r>
      </m:oMath>
      <w:r>
        <w:t xml:space="preserve">, the never-infected probability, confirming the</w:t>
      </w:r>
      <w:r>
        <w:t xml:space="preserve"> </w:t>
      </w:r>
      <w:r>
        <w:t xml:space="preserve">density is correctly normalized.</w:t>
      </w:r>
      <w:r>
        <w:t xml:space="preserve"> </w:t>
      </w:r>
      <w:r>
        <w:t xml:space="preserve">As</w:t>
      </w:r>
      <w:r>
        <w:t xml:space="preserve"> </w:t>
      </w:r>
      <m:oMath>
        <m:r>
          <m:t>ε</m:t>
        </m:r>
        <m:r>
          <m:rPr>
            <m:sty m:val="p"/>
          </m:rPr>
          <m:t>→</m:t>
        </m:r>
        <m:r>
          <m:t>0</m:t>
        </m:r>
      </m:oMath>
      <w:r>
        <w:t xml:space="preserve"> </w:t>
      </w:r>
      <w:r>
        <w:t xml:space="preserve">the flat piece reduces to</w:t>
      </w:r>
      <w:r>
        <w:t xml:space="preserve"> </w:t>
      </w:r>
      <m:oMath>
        <m:r>
          <m:rPr>
            <m:sty m:val="p"/>
          </m:rPr>
          <m:t>exp</m:t>
        </m:r>
        <m:r>
          <m:t>​</m:t>
        </m:r>
        <m:d>
          <m:dPr>
            <m:begChr m:val="{"/>
            <m:sepChr m:val=""/>
            <m:endChr m:val="}"/>
            <m:grow/>
          </m:dPr>
          <m:e>
            <m:r>
              <m:rPr>
                <m:sty m:val="p"/>
              </m:rPr>
              <m:t>−</m:t>
            </m:r>
            <m:r>
              <m:t>λ</m:t>
            </m:r>
            <m:r>
              <m:t>a</m:t>
            </m:r>
          </m:e>
        </m:d>
        <m:r>
          <m:t>​</m:t>
        </m:r>
        <m:r>
          <m:rPr>
            <m:sty m:val="p"/>
          </m:rPr>
          <m:t>/</m:t>
        </m:r>
        <m:r>
          <m:t>ν</m:t>
        </m:r>
      </m:oMath>
      <w:r>
        <w:t xml:space="preserve">, the biological-noise-only density on</w:t>
      </w:r>
      <w:r>
        <w:t xml:space="preserve"> </w:t>
      </w:r>
      <m:oMath>
        <m:r>
          <m:rPr>
            <m:sty m:val="p"/>
          </m:rPr>
          <m:t>[</m:t>
        </m:r>
        <m:r>
          <m:t>0</m:t>
        </m:r>
        <m:r>
          <m:rPr>
            <m:sty m:val="p"/>
          </m:rPr>
          <m:t>,</m:t>
        </m:r>
        <m:r>
          <m:t>ν</m:t>
        </m:r>
        <m:r>
          <m:rPr>
            <m:sty m:val="p"/>
          </m:rPr>
          <m:t>]</m:t>
        </m:r>
      </m:oMath>
      <w:r>
        <w:t xml:space="preserve">, matching the single-source case above.</w:t>
      </w:r>
    </w:p>
    <w:bookmarkEnd w:id="94"/>
    <w:bookmarkStart w:id="99" w:name="multiple-biomarkers"/>
    <w:p>
      <w:pPr>
        <w:pStyle w:val="Heading2"/>
      </w:pPr>
      <w:r>
        <w:t xml:space="preserve">5.10 Multiple biomarkers</w:t>
      </w:r>
    </w:p>
    <w:p>
      <w:pPr>
        <w:pStyle w:val="FirstParagraph"/>
      </w:pPr>
      <w:r>
        <w:t xml:space="preserve">A serosurvey usually measures more than one antigen-isotype per participant.</w:t>
      </w:r>
      <w:r>
        <w:t xml:space="preserve"> </w:t>
      </w:r>
      <w:r>
        <w:t xml:space="preserve">The current model treats biomarkers as</w:t>
      </w:r>
      <w:r>
        <w:t xml:space="preserve"> </w:t>
      </w:r>
      <w:r>
        <w:rPr>
          <w:b/>
          <w:bCs/>
        </w:rPr>
        <w:t xml:space="preserve">conditionally independent given the</w:t>
      </w:r>
      <w:r>
        <w:rPr>
          <w:b/>
          <w:bCs/>
        </w:rPr>
        <w:t xml:space="preserve"> </w:t>
      </w:r>
      <w:r>
        <w:rPr>
          <w:b/>
          <w:bCs/>
        </w:rPr>
        <w:t xml:space="preserve">time since infection</w:t>
      </w:r>
      <w:r>
        <w:t xml:space="preserve">, so their response densities multiply</w:t>
      </w:r>
      <w:r>
        <w:t xml:space="preserve"> </w:t>
      </w:r>
      <w:r>
        <w:rPr>
          <w:i/>
          <w:iCs/>
        </w:rPr>
        <w:t xml:space="preserve">inside</w:t>
      </w:r>
      <w:r>
        <w:t xml:space="preserve"> </w:t>
      </w:r>
      <w:r>
        <w:t xml:space="preserve">each</w:t>
      </w:r>
      <w:r>
        <w:t xml:space="preserve"> </w:t>
      </w:r>
      <w:r>
        <w:t xml:space="preserve">person’s integral over</w:t>
      </w:r>
      <w:r>
        <w:t xml:space="preserve"> </w:t>
      </w:r>
      <m:oMath>
        <m:r>
          <m:t>t</m:t>
        </m:r>
      </m:oMath>
      <w:r>
        <w:t xml:space="preserve">:</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rPr>
              <m:sty m:val="p"/>
            </m:rPr>
            <m:t>=</m:t>
          </m:r>
          <m:nary>
            <m:naryPr>
              <m:chr m:val="∫"/>
              <m:limLoc m:val="subSup"/>
              <m:subHide m:val="off"/>
              <m:supHide m:val="on"/>
            </m:naryPr>
            <m:sub>
              <m:r>
                <m:t>t</m:t>
              </m:r>
            </m:sub>
            <m:sup>
              <m:r>
                <m:t>​</m:t>
              </m:r>
            </m:sup>
            <m:e>
              <m:r>
                <m:rPr>
                  <m:sty m:val="p"/>
                </m:rPr>
                <m:t>p</m:t>
              </m:r>
            </m:e>
          </m:nary>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Note that this is</w:t>
      </w:r>
      <w:r>
        <w:t xml:space="preserve"> </w:t>
      </w:r>
      <w:r>
        <w:rPr>
          <w:b/>
          <w:bCs/>
        </w:rPr>
        <w:t xml:space="preserve">not</w:t>
      </w:r>
      <w:r>
        <w:t xml:space="preserve"> </w:t>
      </w:r>
      <w:r>
        <w:t xml:space="preserve">the product of the two single-biomarker</w:t>
      </w:r>
      <w:r>
        <w:t xml:space="preserve"> </w:t>
      </w:r>
      <w:r>
        <w:t xml:space="preserve">likelihoods: the shared latent infection time</w:t>
      </w:r>
      <w:r>
        <w:t xml:space="preserve"> </w:t>
      </w:r>
      <m:oMath>
        <m:r>
          <m:t>t</m:t>
        </m:r>
      </m:oMath>
      <w:r>
        <w:t xml:space="preserve"> </w:t>
      </w:r>
      <w:r>
        <w:t xml:space="preserve">couples them.</w:t>
      </w:r>
    </w:p>
    <w:p>
      <w:pPr>
        <w:pStyle w:val="BodyText"/>
      </w:pPr>
      <w:r>
        <w:t xml:space="preserve">(</w:t>
      </w:r>
      <w:hyperlink w:anchor="sec-multivariate">
        <w:r>
          <w:rPr>
            <w:rStyle w:val="Hyperlink"/>
          </w:rPr>
          <w:t xml:space="preserve">Section 9.2</w:t>
        </w:r>
      </w:hyperlink>
      <w:r>
        <w:t xml:space="preserve"> </w:t>
      </w:r>
      <w:r>
        <w:t xml:space="preserve">below describes work in progress to relax the</w:t>
      </w:r>
      <w:r>
        <w:t xml:space="preserve"> </w:t>
      </w:r>
      <w:r>
        <w:t xml:space="preserve">conditional-independence assumption itself.)</w:t>
      </w:r>
    </w:p>
    <w:p>
      <w:pPr>
        <w:pStyle w:val="BodyText"/>
      </w:pPr>
      <w:r>
        <w:t xml:space="preserve">Using both biomarkers concentrates the log-likelihood around its maximum,</w:t>
      </w:r>
      <w:r>
        <w:t xml:space="preserve"> </w:t>
      </w:r>
      <w:r>
        <w:t xml:space="preserve">and so shrinks the standard error, relative to either biomarker alone</w:t>
      </w:r>
      <w:r>
        <w:t xml:space="preserve"> </w:t>
      </w:r>
      <w:r>
        <w:t xml:space="preserve">(</w:t>
      </w:r>
      <w:hyperlink w:anchor="fig-loglik">
        <w:r>
          <w:rPr>
            <w:rStyle w:val="Hyperlink"/>
          </w:rPr>
          <w:t xml:space="preserve">Figure 5</w:t>
        </w:r>
      </w:hyperlink>
      <w:r>
        <w:t xml:space="preserve">):</w:t>
      </w:r>
    </w:p>
    <w:p>
      <w:pPr>
        <w:pStyle w:val="SourceCode"/>
      </w:pPr>
      <w:r>
        <w:rPr>
          <w:rStyle w:val="NormalTok"/>
        </w:rPr>
        <w:t xml:space="preserve">lik_HlyE_IgA </w:t>
      </w:r>
      <w:r>
        <w:rPr>
          <w:rStyle w:val="OtherTok"/>
        </w:rPr>
        <w:t xml:space="preserve">&lt;-</w:t>
      </w:r>
      <w:r>
        <w:rPr>
          <w:rStyle w:val="NormalTok"/>
        </w:rPr>
        <w:t xml:space="preserve"> </w:t>
      </w:r>
      <w:r>
        <w:rPr>
          <w:rStyle w:val="FunctionTok"/>
        </w:rPr>
        <w:t xml:space="preserve">graph_loglik</w:t>
      </w:r>
      <w:r>
        <w:rPr>
          <w:rStyle w:val="NormalTok"/>
        </w:rPr>
        <w:t xml:space="preserve">( </w:t>
      </w:r>
      <w:r>
        <w:rPr>
          <w:rStyle w:val="CommentTok"/>
        </w:rPr>
        <w:t xml:space="preserve"># nolint: object_name_linter.</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curve_params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log_x =</w:t>
      </w:r>
      <w:r>
        <w:rPr>
          <w:rStyle w:val="NormalTok"/>
        </w:rPr>
        <w:t xml:space="preserve"> </w:t>
      </w:r>
      <w:r>
        <w:rPr>
          <w:rStyle w:val="ConstantTok"/>
        </w:rPr>
        <w:t xml:space="preserve">TRUE</w:t>
      </w:r>
      <w:r>
        <w:br/>
      </w:r>
      <w:r>
        <w:rPr>
          <w:rStyle w:val="NormalTok"/>
        </w:rPr>
        <w:t xml:space="preserve">)</w:t>
      </w:r>
      <w:r>
        <w:br/>
      </w:r>
      <w:r>
        <w:br/>
      </w:r>
      <w:r>
        <w:rPr>
          <w:rStyle w:val="NormalTok"/>
        </w:rPr>
        <w:t xml:space="preserve">lik_HlyE_IgG </w:t>
      </w:r>
      <w:r>
        <w:rPr>
          <w:rStyle w:val="OtherTok"/>
        </w:rPr>
        <w:t xml:space="preserve">&lt;-</w:t>
      </w:r>
      <w:r>
        <w:rPr>
          <w:rStyle w:val="NormalTok"/>
        </w:rPr>
        <w:t xml:space="preserve"> </w:t>
      </w:r>
      <w:r>
        <w:rPr>
          <w:rStyle w:val="FunctionTok"/>
        </w:rPr>
        <w:t xml:space="preserve">graph_loglik</w:t>
      </w:r>
      <w:r>
        <w:rPr>
          <w:rStyle w:val="NormalTok"/>
        </w:rPr>
        <w:t xml:space="preserve">( </w:t>
      </w:r>
      <w:r>
        <w:rPr>
          <w:rStyle w:val="CommentTok"/>
        </w:rPr>
        <w:t xml:space="preserve"># nolint: object_name_linter.</w:t>
      </w:r>
      <w:r>
        <w:br/>
      </w:r>
      <w:r>
        <w:rPr>
          <w:rStyle w:val="NormalTok"/>
        </w:rPr>
        <w:t xml:space="preserve">  </w:t>
      </w:r>
      <w:r>
        <w:rPr>
          <w:rStyle w:val="AttributeTok"/>
        </w:rPr>
        <w:t xml:space="preserve">previous_plot =</w:t>
      </w:r>
      <w:r>
        <w:rPr>
          <w:rStyle w:val="NormalTok"/>
        </w:rPr>
        <w:t xml:space="preserve"> lik_HlyE_IgA,</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curve_params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StringTok"/>
        </w:rPr>
        <w:t xml:space="preserve">"HlyE_IgG"</w:t>
      </w:r>
      <w:r>
        <w:rPr>
          <w:rStyle w:val="NormalTok"/>
        </w:rPr>
        <w:t xml:space="preserve">,</w:t>
      </w:r>
      <w:r>
        <w:br/>
      </w:r>
      <w:r>
        <w:rPr>
          <w:rStyle w:val="NormalTok"/>
        </w:rPr>
        <w:t xml:space="preserve">  </w:t>
      </w:r>
      <w:r>
        <w:rPr>
          <w:rStyle w:val="AttributeTok"/>
        </w:rPr>
        <w:t xml:space="preserve">log_x =</w:t>
      </w:r>
      <w:r>
        <w:rPr>
          <w:rStyle w:val="NormalTok"/>
        </w:rPr>
        <w:t xml:space="preserve"> </w:t>
      </w:r>
      <w:r>
        <w:rPr>
          <w:rStyle w:val="ConstantTok"/>
        </w:rPr>
        <w:t xml:space="preserve">TRUE</w:t>
      </w:r>
      <w:r>
        <w:br/>
      </w:r>
      <w:r>
        <w:rPr>
          <w:rStyle w:val="NormalTok"/>
        </w:rPr>
        <w:t xml:space="preserve">)</w:t>
      </w:r>
      <w:r>
        <w:br/>
      </w:r>
      <w:r>
        <w:br/>
      </w:r>
      <w:r>
        <w:rPr>
          <w:rStyle w:val="NormalTok"/>
        </w:rPr>
        <w:t xml:space="preserve">lik_both </w:t>
      </w:r>
      <w:r>
        <w:rPr>
          <w:rStyle w:val="OtherTok"/>
        </w:rPr>
        <w:t xml:space="preserve">&lt;-</w:t>
      </w:r>
      <w:r>
        <w:rPr>
          <w:rStyle w:val="NormalTok"/>
        </w:rPr>
        <w:t xml:space="preserve"> </w:t>
      </w:r>
      <w:r>
        <w:rPr>
          <w:rStyle w:val="FunctionTok"/>
        </w:rPr>
        <w:t xml:space="preserve">graph_loglik</w:t>
      </w:r>
      <w:r>
        <w:rPr>
          <w:rStyle w:val="NormalTok"/>
        </w:rPr>
        <w:t xml:space="preserve">(</w:t>
      </w:r>
      <w:r>
        <w:br/>
      </w:r>
      <w:r>
        <w:rPr>
          <w:rStyle w:val="NormalTok"/>
        </w:rPr>
        <w:t xml:space="preserve">  </w:t>
      </w:r>
      <w:r>
        <w:rPr>
          <w:rStyle w:val="AttributeTok"/>
        </w:rPr>
        <w:t xml:space="preserve">previous_plot =</w:t>
      </w:r>
      <w:r>
        <w:rPr>
          <w:rStyle w:val="NormalTok"/>
        </w:rPr>
        <w:t xml:space="preserve"> lik_HlyE_IgG,</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curve_params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log_x =</w:t>
      </w:r>
      <w:r>
        <w:rPr>
          <w:rStyle w:val="NormalTok"/>
        </w:rPr>
        <w:t xml:space="preserve"> </w:t>
      </w:r>
      <w:r>
        <w:rPr>
          <w:rStyle w:val="ConstantTok"/>
        </w:rPr>
        <w:t xml:space="preserve">TRUE</w:t>
      </w:r>
      <w:r>
        <w:br/>
      </w:r>
      <w:r>
        <w:rPr>
          <w:rStyle w:val="NormalTok"/>
        </w:rPr>
        <w:t xml:space="preserve">)</w:t>
      </w:r>
      <w:r>
        <w:br/>
      </w:r>
      <w:r>
        <w:br/>
      </w:r>
      <w:r>
        <w:rPr>
          <w:rStyle w:val="FunctionTok"/>
        </w:rPr>
        <w:t xml:space="preserve">print</w:t>
      </w:r>
      <w:r>
        <w:rPr>
          <w:rStyle w:val="NormalTok"/>
        </w:rPr>
        <w:t xml:space="preserve">(lik_both)</w:t>
      </w:r>
    </w:p>
    <w:tbl>
      <w:tblPr>
        <w:tblStyle w:val="Table"/>
        <w:tblW w:type="pct" w:w="5000"/>
        <w:tblLayout w:type="fixed"/>
        <w:tblLook w:firstRow="0" w:lastRow="0" w:firstColumn="0" w:lastColumn="0" w:noHBand="0" w:noVBand="0" w:val="0000"/>
      </w:tblPr>
      <w:tblGrid>
        <w:gridCol w:w="7920"/>
      </w:tblGrid>
      <w:tr>
        <w:tc>
          <w:tcPr/>
          <w:bookmarkStart w:id="98" w:name="fig-loglik"/>
          <w:p>
            <w:pPr>
              <w:pStyle w:val="Compact"/>
              <w:jc w:val="center"/>
            </w:pPr>
            <w:r>
              <w:drawing>
                <wp:inline>
                  <wp:extent cx="4620126" cy="3696101"/>
                  <wp:effectExtent b="0" l="0" r="0" t="0"/>
                  <wp:docPr descr="" title="" id="96" name="Picture"/>
                  <a:graphic>
                    <a:graphicData uri="http://schemas.openxmlformats.org/drawingml/2006/picture">
                      <pic:pic>
                        <pic:nvPicPr>
                          <pic:cNvPr descr="methodology_files/figure-docx/fig-loglik-1.png" id="97" name="Picture"/>
                          <pic:cNvPicPr>
                            <a:picLocks noChangeArrowheads="1" noChangeAspect="1"/>
                          </pic:cNvPicPr>
                        </pic:nvPicPr>
                        <pic:blipFill>
                          <a:blip r:embed="rId95"/>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5: Log-likelihood curves for HlyE IgA alone, HlyE IgG alone, and both biomarkers combined.</w:t>
            </w:r>
          </w:p>
          <w:bookmarkEnd w:id="98"/>
        </w:tc>
      </w:tr>
    </w:tbl>
    <w:bookmarkEnd w:id="99"/>
    <w:bookmarkStart w:id="103" w:name="X2f1a22e0e8bfbbb3bd4a9b4c70c58b4086e4038"/>
    <w:p>
      <w:pPr>
        <w:pStyle w:val="Heading2"/>
      </w:pPr>
      <w:r>
        <w:t xml:space="preserve">5.11 Variation in antibody kinetics: by country</w:t>
      </w:r>
    </w:p>
    <w:p>
      <w:pPr>
        <w:pStyle w:val="FirstParagraph"/>
      </w:pPr>
      <w:r>
        <w:t xml:space="preserve">Antibody-decay kinetics are not identical across populations. Estimated</w:t>
      </w:r>
      <w:r>
        <w:t xml:space="preserve"> </w:t>
      </w:r>
      <w:r>
        <w:t xml:space="preserve">seroresponse parameters vary by</w:t>
      </w:r>
      <w:r>
        <w:t xml:space="preserve"> </w:t>
      </w:r>
      <w:r>
        <w:rPr>
          <w:b/>
          <w:bCs/>
        </w:rPr>
        <w:t xml:space="preserve">country</w:t>
      </w:r>
      <w:r>
        <w:t xml:space="preserve">,</w:t>
      </w:r>
      <w:r>
        <w:t xml:space="preserve"> </w:t>
      </w:r>
      <w:r>
        <w:rPr>
          <w:b/>
          <w:bCs/>
        </w:rPr>
        <w:t xml:space="preserve">age</w:t>
      </w:r>
      <w:r>
        <w:t xml:space="preserve">, and</w:t>
      </w:r>
      <w:r>
        <w:t xml:space="preserve"> </w:t>
      </w:r>
      <w:r>
        <w:rPr>
          <w:b/>
          <w:bCs/>
        </w:rPr>
        <w:t xml:space="preserve">serotype</w:t>
      </w:r>
      <w:r>
        <w:t xml:space="preserve"> </w:t>
      </w:r>
      <w:r>
        <w:t xml:space="preserve">(</w:t>
      </w:r>
      <w:r>
        <w:rPr>
          <w:i/>
          <w:iCs/>
        </w:rPr>
        <w:t xml:space="preserve">Typhi</w:t>
      </w:r>
      <w:r>
        <w:t xml:space="preserve"> </w:t>
      </w:r>
      <w:r>
        <w:t xml:space="preserve">vs</w:t>
      </w:r>
      <w:r>
        <w:t xml:space="preserve"> </w:t>
      </w:r>
      <w:r>
        <w:rPr>
          <w:i/>
          <w:iCs/>
        </w:rPr>
        <w:t xml:space="preserve">Paratyphi</w:t>
      </w:r>
      <w:r>
        <w:t xml:space="preserve"> </w:t>
      </w:r>
      <w:r>
        <w:t xml:space="preserve">A).</w:t>
      </w:r>
    </w:p>
    <w:p>
      <w:pPr>
        <w:pStyle w:val="CaptionedFigure"/>
      </w:pPr>
      <w:r>
        <w:drawing>
          <wp:inline>
            <wp:extent cx="5334000" cy="5776895"/>
            <wp:effectExtent b="0" l="0" r="0" t="0"/>
            <wp:docPr descr="Decay curves (A), peak antibody levels (B), and decay rates (C) for HlyE and LPS (IgG/IgA), by country (Bangladesh, Pakistan, Nepal, Ghana). SEES study." title="" id="101" name="Picture"/>
            <a:graphic>
              <a:graphicData uri="http://schemas.openxmlformats.org/drawingml/2006/picture">
                <pic:pic>
                  <pic:nvPicPr>
                    <pic:cNvPr descr="../man/figures/kinetics-variation-1.png" id="102" name="Picture"/>
                    <pic:cNvPicPr>
                      <a:picLocks noChangeArrowheads="1" noChangeAspect="1"/>
                    </pic:cNvPicPr>
                  </pic:nvPicPr>
                  <pic:blipFill>
                    <a:blip r:embed="rId100"/>
                    <a:stretch>
                      <a:fillRect/>
                    </a:stretch>
                  </pic:blipFill>
                  <pic:spPr bwMode="auto">
                    <a:xfrm>
                      <a:off x="0" y="0"/>
                      <a:ext cx="5334000" cy="5776895"/>
                    </a:xfrm>
                    <a:prstGeom prst="rect">
                      <a:avLst/>
                    </a:prstGeom>
                    <a:noFill/>
                    <a:ln w="9525">
                      <a:noFill/>
                      <a:headEnd/>
                      <a:tailEnd/>
                    </a:ln>
                  </pic:spPr>
                </pic:pic>
              </a:graphicData>
            </a:graphic>
          </wp:inline>
        </w:drawing>
      </w:r>
    </w:p>
    <w:p>
      <w:pPr>
        <w:pStyle w:val="ImageCaption"/>
      </w:pPr>
      <w:r>
        <w:t xml:space="preserve">Decay curves (A), peak antibody levels (B), and decay rates (C) for HlyE and LPS (IgG/IgA), by country (Bangladesh, Pakistan, Nepal, Ghana). SEES study.</w:t>
      </w:r>
    </w:p>
    <w:bookmarkEnd w:id="103"/>
    <w:bookmarkStart w:id="107" w:name="Xe0d498a7f1d34353def60f09705ade4ab365d1e"/>
    <w:p>
      <w:pPr>
        <w:pStyle w:val="Heading2"/>
      </w:pPr>
      <w:r>
        <w:t xml:space="preserve">5.12 Variation in antibody kinetics: by age and serotype</w:t>
      </w:r>
    </w:p>
    <w:p>
      <w:pPr>
        <w:pStyle w:val="CaptionedFigure"/>
      </w:pPr>
      <w:r>
        <w:drawing>
          <wp:inline>
            <wp:extent cx="5334000" cy="4364181"/>
            <wp:effectExtent b="0" l="0" r="0" t="0"/>
            <wp:docPr descr="Decay curves by age stratum (&lt;5, 5–15, 16+) and serotype (Typhi vs Paratyphi A), for HlyE and LPS (IgG/IgA). SEES study." title="" id="105" name="Picture"/>
            <a:graphic>
              <a:graphicData uri="http://schemas.openxmlformats.org/drawingml/2006/picture">
                <pic:pic>
                  <pic:nvPicPr>
                    <pic:cNvPr descr="../man/figures/kinetics-variation-2.png" id="106" name="Picture"/>
                    <pic:cNvPicPr>
                      <a:picLocks noChangeArrowheads="1" noChangeAspect="1"/>
                    </pic:cNvPicPr>
                  </pic:nvPicPr>
                  <pic:blipFill>
                    <a:blip r:embed="rId104"/>
                    <a:stretch>
                      <a:fillRect/>
                    </a:stretch>
                  </pic:blipFill>
                  <pic:spPr bwMode="auto">
                    <a:xfrm>
                      <a:off x="0" y="0"/>
                      <a:ext cx="5334000" cy="4364181"/>
                    </a:xfrm>
                    <a:prstGeom prst="rect">
                      <a:avLst/>
                    </a:prstGeom>
                    <a:noFill/>
                    <a:ln w="9525">
                      <a:noFill/>
                      <a:headEnd/>
                      <a:tailEnd/>
                    </a:ln>
                  </pic:spPr>
                </pic:pic>
              </a:graphicData>
            </a:graphic>
          </wp:inline>
        </w:drawing>
      </w:r>
    </w:p>
    <w:p>
      <w:pPr>
        <w:pStyle w:val="ImageCaption"/>
      </w:pPr>
      <w:r>
        <w:t xml:space="preserve">Decay curves by age stratum (&lt;5, 5–15, 16+) and serotype (</w:t>
      </w:r>
      <w:r>
        <w:rPr>
          <w:i/>
          <w:iCs/>
        </w:rPr>
        <w:t xml:space="preserve">Typhi</w:t>
      </w:r>
      <w:r>
        <w:t xml:space="preserve"> </w:t>
      </w:r>
      <w:r>
        <w:t xml:space="preserve">vs</w:t>
      </w:r>
      <w:r>
        <w:t xml:space="preserve"> </w:t>
      </w:r>
      <w:r>
        <w:rPr>
          <w:i/>
          <w:iCs/>
        </w:rPr>
        <w:t xml:space="preserve">Paratyphi</w:t>
      </w:r>
      <w:r>
        <w:t xml:space="preserve"> </w:t>
      </w:r>
      <w:r>
        <w:t xml:space="preserve">A), for HlyE and LPS (IgG/IgA). SEES study.</w:t>
      </w:r>
    </w:p>
    <w:p>
      <w:pPr>
        <w:pStyle w:val="BodyText"/>
      </w:pPr>
      <w:r>
        <w:t xml:space="preserve">This heterogeneity is why we stratify the analysis (for example by country</w:t>
      </w:r>
      <w:r>
        <w:t xml:space="preserve"> </w:t>
      </w:r>
      <w:r>
        <w:t xml:space="preserve">and age group) and why extending the model to handle covariates directly</w:t>
      </w:r>
      <w:r>
        <w:t xml:space="preserve"> </w:t>
      </w:r>
      <w:r>
        <w:t xml:space="preserve">is on the roadmap.</w:t>
      </w:r>
    </w:p>
    <w:bookmarkEnd w:id="107"/>
    <w:bookmarkEnd w:id="108"/>
    <w:bookmarkStart w:id="120" w:name="estimating-the-curves-with-serodynamics"/>
    <w:p>
      <w:pPr>
        <w:pStyle w:val="Heading1"/>
      </w:pPr>
      <w:r>
        <w:t xml:space="preserve">6. Estimating the curves with</w:t>
      </w:r>
      <w:r>
        <w:t xml:space="preserve"> </w:t>
      </w:r>
      <w:r>
        <w:rPr>
          <w:rStyle w:val="VerbatimChar"/>
        </w:rPr>
        <w:t xml:space="preserve">serodynamics</w:t>
      </w:r>
    </w:p>
    <w:bookmarkStart w:id="109" w:name="where-do-the-curve-parameters-come-from"/>
    <w:p>
      <w:pPr>
        <w:pStyle w:val="Heading2"/>
      </w:pPr>
      <w:r>
        <w:t xml:space="preserve">6.1 Where do the curve parameters come from?</w:t>
      </w:r>
    </w:p>
    <w:p>
      <w:pPr>
        <w:pStyle w:val="FirstParagraph"/>
      </w:pPr>
      <w:r>
        <w:t xml:space="preserve">The decay curves above are themselves</w:t>
      </w:r>
      <w:r>
        <w:t xml:space="preserve"> </w:t>
      </w:r>
      <w:r>
        <w:rPr>
          <w:b/>
          <w:bCs/>
        </w:rPr>
        <w:t xml:space="preserve">estimated</w:t>
      </w:r>
      <w:r>
        <w:t xml:space="preserve"> </w:t>
      </w:r>
      <w:r>
        <w:t xml:space="preserve">from longitudinal</w:t>
      </w:r>
      <w:r>
        <w:t xml:space="preserve"> </w:t>
      </w:r>
      <w:r>
        <w:t xml:space="preserve">antibody measurements on</w:t>
      </w:r>
      <w:r>
        <w:t xml:space="preserve"> </w:t>
      </w:r>
      <w:r>
        <w:rPr>
          <w:b/>
          <w:bCs/>
        </w:rPr>
        <w:t xml:space="preserve">confirmed cases</w:t>
      </w:r>
      <w:r>
        <w:t xml:space="preserve"> </w:t>
      </w:r>
      <w:r>
        <w:t xml:space="preserve">— individuals with a known</w:t>
      </w:r>
      <w:r>
        <w:t xml:space="preserve"> </w:t>
      </w:r>
      <w:r>
        <w:t xml:space="preserve">infection date who are sampled repeatedly afterward. Fitting the two-phase</w:t>
      </w:r>
      <w:r>
        <w:t xml:space="preserve"> </w:t>
      </w:r>
      <w:r>
        <w:t xml:space="preserve">model to those data yields, for each antigen-isotype, the parameters the</w:t>
      </w:r>
      <w:r>
        <w:t xml:space="preserve"> </w:t>
      </w:r>
      <w:r>
        <w:t xml:space="preserve">incidence model needs:</w:t>
      </w:r>
    </w:p>
    <w:p>
      <w:pPr>
        <w:pStyle w:val="Compact"/>
        <w:numPr>
          <w:ilvl w:val="0"/>
          <w:numId w:val="1038"/>
        </w:numPr>
      </w:pPr>
      <w:r>
        <w:t xml:space="preserve">baseline antibody level (</w:t>
      </w:r>
      <m:oMath>
        <m:sSub>
          <m:e>
            <m:r>
              <m:t>y</m:t>
            </m:r>
          </m:e>
          <m:sub>
            <m:r>
              <m:t>0</m:t>
            </m:r>
          </m:sub>
        </m:sSub>
      </m:oMath>
      <w:r>
        <w:t xml:space="preserve">)</w:t>
      </w:r>
    </w:p>
    <w:p>
      <w:pPr>
        <w:pStyle w:val="Compact"/>
        <w:numPr>
          <w:ilvl w:val="0"/>
          <w:numId w:val="1038"/>
        </w:numPr>
      </w:pPr>
      <w:r>
        <w:t xml:space="preserve">peak concentration (</w:t>
      </w:r>
      <m:oMath>
        <m:sSub>
          <m:e>
            <m:r>
              <m:t>y</m:t>
            </m:r>
          </m:e>
          <m:sub>
            <m:r>
              <m:t>1</m:t>
            </m:r>
          </m:sub>
        </m:sSub>
      </m:oMath>
      <w:r>
        <w:t xml:space="preserve">)</w:t>
      </w:r>
    </w:p>
    <w:p>
      <w:pPr>
        <w:pStyle w:val="Compact"/>
        <w:numPr>
          <w:ilvl w:val="0"/>
          <w:numId w:val="1038"/>
        </w:numPr>
      </w:pPr>
      <w:r>
        <w:t xml:space="preserve">time to peak (</w:t>
      </w:r>
      <m:oMath>
        <m:sSub>
          <m:e>
            <m:r>
              <m:t>t</m:t>
            </m:r>
          </m:e>
          <m:sub>
            <m:r>
              <m:t>1</m:t>
            </m:r>
          </m:sub>
        </m:sSub>
      </m:oMath>
      <w:r>
        <w:t xml:space="preserve">)</w:t>
      </w:r>
    </w:p>
    <w:p>
      <w:pPr>
        <w:pStyle w:val="Compact"/>
        <w:numPr>
          <w:ilvl w:val="0"/>
          <w:numId w:val="1038"/>
        </w:numPr>
      </w:pPr>
      <w:r>
        <w:t xml:space="preserve">decay rate (</w:t>
      </w:r>
      <m:oMath>
        <m:r>
          <m:t>α</m:t>
        </m:r>
      </m:oMath>
      <w:r>
        <w:t xml:space="preserve">)</w:t>
      </w:r>
    </w:p>
    <w:p>
      <w:pPr>
        <w:pStyle w:val="Compact"/>
        <w:numPr>
          <w:ilvl w:val="0"/>
          <w:numId w:val="1038"/>
        </w:numPr>
      </w:pPr>
      <w:r>
        <w:t xml:space="preserve">decay shape (</w:t>
      </w:r>
      <m:oMath>
        <m:r>
          <m:t>r</m:t>
        </m:r>
      </m:oMath>
      <w:r>
        <w:t xml:space="preserve">)</w:t>
      </w:r>
    </w:p>
    <w:bookmarkEnd w:id="109"/>
    <w:bookmarkStart w:id="111" w:name="the-serodynamics-package"/>
    <w:p>
      <w:pPr>
        <w:pStyle w:val="Heading2"/>
      </w:pPr>
      <w:r>
        <w:t xml:space="preserve">6.2 The</w:t>
      </w:r>
      <w:r>
        <w:t xml:space="preserve"> </w:t>
      </w:r>
      <w:r>
        <w:rPr>
          <w:rStyle w:val="VerbatimChar"/>
        </w:rPr>
        <w:t xml:space="preserve">serodynamics</w:t>
      </w:r>
      <w:r>
        <w:t xml:space="preserve"> </w:t>
      </w:r>
      <w:r>
        <w:t xml:space="preserve">package</w:t>
      </w:r>
    </w:p>
    <w:p>
      <w:pPr>
        <w:pStyle w:val="FirstParagraph"/>
      </w:pPr>
      <w:hyperlink r:id="rId110">
        <w:r>
          <w:rPr>
            <w:rStyle w:val="VerbatimChar"/>
          </w:rPr>
          <w:t xml:space="preserve">serodynamics</w:t>
        </w:r>
      </w:hyperlink>
      <w:r>
        <w:t xml:space="preserve"> </w:t>
      </w:r>
      <w:r>
        <w:t xml:space="preserve">is an</w:t>
      </w:r>
      <w:r>
        <w:t xml:space="preserve"> </w:t>
      </w:r>
      <w:r>
        <w:t xml:space="preserve">open-source R package that fits this two-phase within-host kinetics model</w:t>
      </w:r>
      <w:r>
        <w:t xml:space="preserve"> </w:t>
      </w:r>
      <w:r>
        <w:t xml:space="preserve">with a</w:t>
      </w:r>
      <w:r>
        <w:t xml:space="preserve"> </w:t>
      </w:r>
      <w:r>
        <w:rPr>
          <w:b/>
          <w:bCs/>
        </w:rPr>
        <w:t xml:space="preserve">Bayesian hierarchical</w:t>
      </w:r>
      <w:r>
        <w:t xml:space="preserve"> </w:t>
      </w:r>
      <w:r>
        <w:t xml:space="preserve">model, sampled by MCMC (via JAGS). The</w:t>
      </w:r>
      <w:r>
        <w:t xml:space="preserve"> </w:t>
      </w:r>
      <w:r>
        <w:t xml:space="preserve">hierarchical structure stabilizes individual-level estimates by borrowing</w:t>
      </w:r>
      <w:r>
        <w:t xml:space="preserve"> </w:t>
      </w:r>
      <w:r>
        <w:t xml:space="preserve">strength across participants — valuable when longitudinal data are sparse.</w:t>
      </w:r>
    </w:p>
    <w:p>
      <w:pPr>
        <w:pStyle w:val="BodyText"/>
      </w:pPr>
      <w:r>
        <w:t xml:space="preserve">The same modeling framework has been applied to pertussis, typhoid, scrub</w:t>
      </w:r>
      <w:r>
        <w:t xml:space="preserve"> </w:t>
      </w:r>
      <w:r>
        <w:t xml:space="preserve">typhus, and</w:t>
      </w:r>
      <w:r>
        <w:t xml:space="preserve"> </w:t>
      </w:r>
      <w:r>
        <w:rPr>
          <w:i/>
          <w:iCs/>
        </w:rPr>
        <w:t xml:space="preserve">Shigella</w:t>
      </w:r>
      <w:r>
        <w:t xml:space="preserve">. Previously each application re-implemented the JAGS</w:t>
      </w:r>
      <w:r>
        <w:t xml:space="preserve"> </w:t>
      </w:r>
      <w:r>
        <w:t xml:space="preserve">model specification, data formatting, and post-processing by hand;</w:t>
      </w:r>
      <w:r>
        <w:t xml:space="preserve"> </w:t>
      </w:r>
      <w:r>
        <w:rPr>
          <w:rStyle w:val="VerbatimChar"/>
        </w:rPr>
        <w:t xml:space="preserve">serodynamics</w:t>
      </w:r>
      <w:r>
        <w:t xml:space="preserve"> </w:t>
      </w:r>
      <w:r>
        <w:t xml:space="preserve">packages that into a single reusable, validated workflow.</w:t>
      </w:r>
    </w:p>
    <w:bookmarkEnd w:id="111"/>
    <w:bookmarkStart w:id="112" w:name="a-typical-serodynamics-workflow"/>
    <w:p>
      <w:pPr>
        <w:pStyle w:val="Heading2"/>
      </w:pPr>
      <w:r>
        <w:t xml:space="preserve">6.3 A typical</w:t>
      </w:r>
      <w:r>
        <w:t xml:space="preserve"> </w:t>
      </w:r>
      <w:r>
        <w:rPr>
          <w:rStyle w:val="VerbatimChar"/>
        </w:rPr>
        <w:t xml:space="preserve">serodynamics</w:t>
      </w:r>
      <w:r>
        <w:t xml:space="preserve"> </w:t>
      </w:r>
      <w:r>
        <w:t xml:space="preserve">workflow</w:t>
      </w:r>
    </w:p>
    <w:p>
      <w:pPr>
        <w:pStyle w:val="SourceCode"/>
      </w:pPr>
      <w:r>
        <w:rPr>
          <w:rStyle w:val="FunctionTok"/>
        </w:rPr>
        <w:t xml:space="preserve">library</w:t>
      </w:r>
      <w:r>
        <w:rPr>
          <w:rStyle w:val="NormalTok"/>
        </w:rPr>
        <w:t xml:space="preserve">(serodynamics)</w:t>
      </w:r>
      <w:r>
        <w:br/>
      </w:r>
      <w:r>
        <w:br/>
      </w:r>
      <w:r>
        <w:rPr>
          <w:rStyle w:val="CommentTok"/>
        </w:rPr>
        <w:t xml:space="preserve"># Longitudinal confirmed-case data (example data ships with the package)</w:t>
      </w:r>
      <w:r>
        <w:br/>
      </w:r>
      <w:r>
        <w:rPr>
          <w:rStyle w:val="FunctionTok"/>
        </w:rPr>
        <w:t xml:space="preserve">data</w:t>
      </w:r>
      <w:r>
        <w:rPr>
          <w:rStyle w:val="NormalTok"/>
        </w:rPr>
        <w:t xml:space="preserve">(</w:t>
      </w:r>
      <w:r>
        <w:rPr>
          <w:rStyle w:val="StringTok"/>
        </w:rPr>
        <w:t xml:space="preserve">"nepal_sees"</w:t>
      </w:r>
      <w:r>
        <w:rPr>
          <w:rStyle w:val="NormalTok"/>
        </w:rPr>
        <w:t xml:space="preserve">)</w:t>
      </w:r>
      <w:r>
        <w:br/>
      </w:r>
      <w:r>
        <w:br/>
      </w:r>
      <w:r>
        <w:rPr>
          <w:rStyle w:val="CommentTok"/>
        </w:rPr>
        <w:t xml:space="preserve"># Fit the two-phase model by MCMC (JAGS); slow, so not run here</w:t>
      </w:r>
      <w:r>
        <w:br/>
      </w:r>
      <w:r>
        <w:rPr>
          <w:rStyle w:val="NormalTok"/>
        </w:rPr>
        <w:t xml:space="preserve">fit </w:t>
      </w:r>
      <w:r>
        <w:rPr>
          <w:rStyle w:val="OtherTok"/>
        </w:rPr>
        <w:t xml:space="preserve">&lt;-</w:t>
      </w:r>
      <w:r>
        <w:rPr>
          <w:rStyle w:val="NormalTok"/>
        </w:rPr>
        <w:t xml:space="preserve"> </w:t>
      </w:r>
      <w:r>
        <w:rPr>
          <w:rStyle w:val="FunctionTok"/>
        </w:rPr>
        <w:t xml:space="preserve">run_mod</w:t>
      </w:r>
      <w:r>
        <w:rPr>
          <w:rStyle w:val="NormalTok"/>
        </w:rPr>
        <w:t xml:space="preserve">(</w:t>
      </w:r>
      <w:r>
        <w:rPr>
          <w:rStyle w:val="AttributeTok"/>
        </w:rPr>
        <w:t xml:space="preserve">data =</w:t>
      </w:r>
      <w:r>
        <w:rPr>
          <w:rStyle w:val="NormalTok"/>
        </w:rPr>
        <w:t xml:space="preserve"> nepal_sees, </w:t>
      </w:r>
      <w:r>
        <w:rPr>
          <w:rStyle w:val="AttributeTok"/>
        </w:rPr>
        <w:t xml:space="preserve">with_post =</w:t>
      </w:r>
      <w:r>
        <w:rPr>
          <w:rStyle w:val="NormalTok"/>
        </w:rPr>
        <w:t xml:space="preserve"> </w:t>
      </w:r>
      <w:r>
        <w:rPr>
          <w:rStyle w:val="ConstantTok"/>
        </w:rPr>
        <w:t xml:space="preserve">TRUE</w:t>
      </w:r>
      <w:r>
        <w:rPr>
          <w:rStyle w:val="NormalTok"/>
        </w:rPr>
        <w:t xml:space="preserve">)</w:t>
      </w:r>
      <w:r>
        <w:br/>
      </w:r>
      <w:r>
        <w:br/>
      </w:r>
      <w:r>
        <w:rPr>
          <w:rStyle w:val="CommentTok"/>
        </w:rPr>
        <w:t xml:space="preserve"># Check convergence, then export serocalculator-ready curve parameters</w:t>
      </w:r>
      <w:r>
        <w:br/>
      </w:r>
      <w:r>
        <w:rPr>
          <w:rStyle w:val="FunctionTok"/>
        </w:rPr>
        <w:t xml:space="preserve">plot_jags_Rhat</w:t>
      </w:r>
      <w:r>
        <w:rPr>
          <w:rStyle w:val="NormalTok"/>
        </w:rPr>
        <w:t xml:space="preserve">(fit)</w:t>
      </w:r>
      <w:r>
        <w:br/>
      </w:r>
      <w:r>
        <w:rPr>
          <w:rStyle w:val="NormalTok"/>
        </w:rPr>
        <w:t xml:space="preserve">curve_params </w:t>
      </w:r>
      <w:r>
        <w:rPr>
          <w:rStyle w:val="OtherTok"/>
        </w:rPr>
        <w:t xml:space="preserve">&lt;-</w:t>
      </w:r>
      <w:r>
        <w:rPr>
          <w:rStyle w:val="NormalTok"/>
        </w:rPr>
        <w:t xml:space="preserve"> </w:t>
      </w:r>
      <w:r>
        <w:rPr>
          <w:rStyle w:val="FunctionTok"/>
        </w:rPr>
        <w:t xml:space="preserve">postprocess_jags_output</w:t>
      </w:r>
      <w:r>
        <w:rPr>
          <w:rStyle w:val="NormalTok"/>
        </w:rPr>
        <w:t xml:space="preserve">(fit)</w:t>
      </w:r>
    </w:p>
    <w:p>
      <w:pPr>
        <w:pStyle w:val="FirstParagraph"/>
      </w:pPr>
      <w:r>
        <w:rPr>
          <w:rStyle w:val="VerbatimChar"/>
        </w:rPr>
        <w:t xml:space="preserve">run_mod()</w:t>
      </w:r>
      <w:r>
        <w:t xml:space="preserve"> </w:t>
      </w:r>
      <w:r>
        <w:t xml:space="preserve">runs several MCMC chains for tens of thousands of iterations,</w:t>
      </w:r>
      <w:r>
        <w:t xml:space="preserve"> </w:t>
      </w:r>
      <w:r>
        <w:t xml:space="preserve">so a real fit takes minutes to hours; the package ships ready-made example</w:t>
      </w:r>
      <w:r>
        <w:t xml:space="preserve"> </w:t>
      </w:r>
      <w:r>
        <w:t xml:space="preserve">output (</w:t>
      </w:r>
      <w:r>
        <w:rPr>
          <w:rStyle w:val="VerbatimChar"/>
        </w:rPr>
        <w:t xml:space="preserve">nepal_sees_jags_output</w:t>
      </w:r>
      <w:r>
        <w:t xml:space="preserve">) for experimentation.</w:t>
      </w:r>
    </w:p>
    <w:bookmarkEnd w:id="112"/>
    <w:bookmarkStart w:id="116" w:name="what-a-fitted-model-looks-like"/>
    <w:p>
      <w:pPr>
        <w:pStyle w:val="Heading2"/>
      </w:pPr>
      <w:r>
        <w:t xml:space="preserve">6.4 What a fitted model looks like</w:t>
      </w:r>
    </w:p>
    <w:p>
      <w:pPr>
        <w:pStyle w:val="FirstParagraph"/>
      </w:pPr>
      <w:r>
        <w:t xml:space="preserve">The package ships a cached example fit;</w:t>
      </w:r>
      <w:r>
        <w:t xml:space="preserve"> </w:t>
      </w:r>
      <w:r>
        <w:rPr>
          <w:rStyle w:val="VerbatimChar"/>
        </w:rPr>
        <w:t xml:space="preserve">plot_jags_dens()</w:t>
      </w:r>
      <w:r>
        <w:t xml:space="preserve"> </w:t>
      </w:r>
      <w:r>
        <w:t xml:space="preserve">shows the</w:t>
      </w:r>
      <w:r>
        <w:t xml:space="preserve"> </w:t>
      </w:r>
      <w:r>
        <w:t xml:space="preserve">posterior densities of the five kinetic parameters (here HlyE IgG,</w:t>
      </w:r>
      <w:r>
        <w:t xml:space="preserve"> </w:t>
      </w:r>
      <w:r>
        <w:rPr>
          <w:i/>
          <w:iCs/>
        </w:rPr>
        <w:t xml:space="preserve">Typhi</w:t>
      </w:r>
      <w:r>
        <w:t xml:space="preserve">),</w:t>
      </w:r>
      <w:r>
        <w:t xml:space="preserve"> </w:t>
      </w:r>
      <w:r>
        <w:t xml:space="preserve">overlaid by MCMC chain:</w:t>
      </w:r>
    </w:p>
    <w:p>
      <w:pPr>
        <w:pStyle w:val="BodyText"/>
      </w:pPr>
      <w:r>
        <w:t xml:space="preserve">The overlapping chains indicate good convergence.</w:t>
      </w:r>
    </w:p>
    <w:p>
      <w:pPr>
        <w:pStyle w:val="SourceCode"/>
      </w:pPr>
      <w:r>
        <w:rPr>
          <w:rStyle w:val="FunctionTok"/>
        </w:rPr>
        <w:t xml:space="preserve">data</w:t>
      </w:r>
      <w:r>
        <w:rPr>
          <w:rStyle w:val="NormalTok"/>
        </w:rPr>
        <w:t xml:space="preserve">(</w:t>
      </w:r>
      <w:r>
        <w:rPr>
          <w:rStyle w:val="StringTok"/>
        </w:rPr>
        <w:t xml:space="preserve">"nepal_sees_jags_output"</w:t>
      </w:r>
      <w:r>
        <w:rPr>
          <w:rStyle w:val="NormalTok"/>
        </w:rPr>
        <w:t xml:space="preserve">)</w:t>
      </w:r>
      <w:r>
        <w:br/>
      </w:r>
      <w:r>
        <w:rPr>
          <w:rStyle w:val="FunctionTok"/>
        </w:rPr>
        <w:t xml:space="preserve">plot_jags_dens</w:t>
      </w:r>
      <w:r>
        <w:rPr>
          <w:rStyle w:val="NormalTok"/>
        </w:rPr>
        <w:t xml:space="preserve">(nepal_sees_jags_output, </w:t>
      </w:r>
      <w:r>
        <w:rPr>
          <w:rStyle w:val="AttributeTok"/>
        </w:rPr>
        <w:t xml:space="preserve">iso =</w:t>
      </w:r>
      <w:r>
        <w:rPr>
          <w:rStyle w:val="NormalTok"/>
        </w:rPr>
        <w:t xml:space="preserve"> </w:t>
      </w:r>
      <w:r>
        <w:rPr>
          <w:rStyle w:val="StringTok"/>
        </w:rPr>
        <w:t xml:space="preserve">"HlyE_IgG"</w:t>
      </w:r>
      <w:r>
        <w:rPr>
          <w:rStyle w:val="NormalTok"/>
        </w:rPr>
        <w:t xml:space="preserve">, </w:t>
      </w:r>
      <w:r>
        <w:rPr>
          <w:rStyle w:val="AttributeTok"/>
        </w:rPr>
        <w:t xml:space="preserve">strat =</w:t>
      </w:r>
      <w:r>
        <w:rPr>
          <w:rStyle w:val="NormalTok"/>
        </w:rPr>
        <w:t xml:space="preserve"> </w:t>
      </w:r>
      <w:r>
        <w:rPr>
          <w:rStyle w:val="StringTok"/>
        </w:rPr>
        <w:t xml:space="preserve">"typhi"</w:t>
      </w:r>
      <w:r>
        <w:rPr>
          <w:rStyle w:val="NormalTok"/>
        </w:rPr>
        <w:t xml:space="preserve">)</w:t>
      </w:r>
    </w:p>
    <w:p>
      <w:pPr>
        <w:pStyle w:val="CaptionedFigure"/>
      </w:pPr>
      <w:r>
        <w:drawing>
          <wp:inline>
            <wp:extent cx="5334000" cy="3000375"/>
            <wp:effectExtent b="0" l="0" r="0" t="0"/>
            <wp:docPr descr="Posterior densities of the five kinetic parameters from the cached nepal_sees_jags_output fit (HlyE IgG, Typhi), by MCMC chain." title="" id="114" name="Picture"/>
            <a:graphic>
              <a:graphicData uri="http://schemas.openxmlformats.org/drawingml/2006/picture">
                <pic:pic>
                  <pic:nvPicPr>
                    <pic:cNvPr descr="../man/figures/serodynamics-cached-fit.png" id="115" name="Picture"/>
                    <pic:cNvPicPr>
                      <a:picLocks noChangeArrowheads="1" noChangeAspect="1"/>
                    </pic:cNvPicPr>
                  </pic:nvPicPr>
                  <pic:blipFill>
                    <a:blip r:embed="rId113"/>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Posterior densities of the five kinetic parameters from the cached</w:t>
      </w:r>
      <w:r>
        <w:t xml:space="preserve"> </w:t>
      </w:r>
      <w:r>
        <w:rPr>
          <w:rStyle w:val="VerbatimChar"/>
        </w:rPr>
        <w:t xml:space="preserve">nepal_sees_jags_output</w:t>
      </w:r>
      <w:r>
        <w:t xml:space="preserve"> </w:t>
      </w:r>
      <w:r>
        <w:t xml:space="preserve">fit (HlyE IgG,</w:t>
      </w:r>
      <w:r>
        <w:t xml:space="preserve"> </w:t>
      </w:r>
      <w:r>
        <w:rPr>
          <w:i/>
          <w:iCs/>
        </w:rPr>
        <w:t xml:space="preserve">Typhi</w:t>
      </w:r>
      <w:r>
        <w:t xml:space="preserve">), by MCMC chain.</w:t>
      </w:r>
    </w:p>
    <w:bookmarkEnd w:id="116"/>
    <w:bookmarkStart w:id="117" w:name="two-packages-one-pipeline"/>
    <w:p>
      <w:pPr>
        <w:pStyle w:val="Heading2"/>
      </w:pPr>
      <w:r>
        <w:t xml:space="preserve">6.5 Two packages, one pipeline</w:t>
      </w:r>
    </w:p>
    <w:p>
      <w:pPr>
        <w:pStyle w:val="Compact"/>
        <w:numPr>
          <w:ilvl w:val="0"/>
          <w:numId w:val="1039"/>
        </w:numPr>
      </w:pPr>
      <w:r>
        <w:rPr>
          <w:rStyle w:val="VerbatimChar"/>
          <w:b/>
          <w:bCs/>
        </w:rPr>
        <w:t xml:space="preserve">serodynamics</w:t>
      </w:r>
      <w:r>
        <w:t xml:space="preserve"> </w:t>
      </w:r>
      <w:r>
        <w:t xml:space="preserve">(upstream): longitudinal</w:t>
      </w:r>
      <w:r>
        <w:t xml:space="preserve"> </w:t>
      </w:r>
      <w:r>
        <w:rPr>
          <w:b/>
          <w:bCs/>
        </w:rPr>
        <w:t xml:space="preserve">confirmed-case</w:t>
      </w:r>
      <w:r>
        <w:t xml:space="preserve"> </w:t>
      </w:r>
      <w:r>
        <w:t xml:space="preserve">data</w:t>
      </w:r>
      <w:r>
        <w:t xml:space="preserve"> </w:t>
      </w:r>
      <m:oMath>
        <m:r>
          <m:rPr>
            <m:sty m:val="p"/>
          </m:rPr>
          <m:t>→</m:t>
        </m:r>
      </m:oMath>
      <w:r>
        <w:t xml:space="preserve"> </w:t>
      </w:r>
      <w:r>
        <w:t xml:space="preserve">estimated antibody-decay</w:t>
      </w:r>
      <w:r>
        <w:t xml:space="preserve"> </w:t>
      </w:r>
      <w:r>
        <w:rPr>
          <w:b/>
          <w:bCs/>
        </w:rPr>
        <w:t xml:space="preserve">curve parameters</w:t>
      </w:r>
    </w:p>
    <w:p>
      <w:pPr>
        <w:pStyle w:val="Compact"/>
        <w:numPr>
          <w:ilvl w:val="0"/>
          <w:numId w:val="1039"/>
        </w:numPr>
      </w:pPr>
      <w:r>
        <w:rPr>
          <w:rStyle w:val="VerbatimChar"/>
          <w:b/>
          <w:bCs/>
        </w:rPr>
        <w:t xml:space="preserve">serocalculator</w:t>
      </w:r>
      <w:r>
        <w:t xml:space="preserve"> </w:t>
      </w:r>
      <w:r>
        <w:t xml:space="preserve">(downstream): a</w:t>
      </w:r>
      <w:r>
        <w:t xml:space="preserve"> </w:t>
      </w:r>
      <w:r>
        <w:rPr>
          <w:b/>
          <w:bCs/>
        </w:rPr>
        <w:t xml:space="preserve">cross-sectional serosurvey</w:t>
      </w:r>
      <w:r>
        <w:t xml:space="preserve"> </w:t>
      </w:r>
      <w:r>
        <w:t xml:space="preserve">plus</w:t>
      </w:r>
      <w:r>
        <w:t xml:space="preserve"> </w:t>
      </w:r>
      <w:r>
        <w:t xml:space="preserve">those curve parameters</w:t>
      </w:r>
      <w:r>
        <w:t xml:space="preserve"> </w:t>
      </w:r>
      <m:oMath>
        <m:r>
          <m:rPr>
            <m:sty m:val="p"/>
          </m:rPr>
          <m:t>→</m:t>
        </m:r>
      </m:oMath>
      <w:r>
        <w:t xml:space="preserve"> </w:t>
      </w:r>
      <w:r>
        <w:t xml:space="preserve">a</w:t>
      </w:r>
      <w:r>
        <w:t xml:space="preserve"> </w:t>
      </w:r>
      <w:r>
        <w:rPr>
          <w:b/>
          <w:bCs/>
        </w:rPr>
        <w:t xml:space="preserve">seroincidence</w:t>
      </w:r>
      <w:r>
        <w:t xml:space="preserve"> </w:t>
      </w:r>
      <w:r>
        <w:t xml:space="preserve">estimate</w:t>
      </w:r>
    </w:p>
    <w:p>
      <w:pPr>
        <w:pStyle w:val="FirstParagraph"/>
      </w:pPr>
      <w:r>
        <w:t xml:space="preserve">The output of</w:t>
      </w:r>
      <w:r>
        <w:t xml:space="preserve"> </w:t>
      </w:r>
      <w:r>
        <w:rPr>
          <w:rStyle w:val="VerbatimChar"/>
        </w:rPr>
        <w:t xml:space="preserve">serodynamics</w:t>
      </w:r>
      <w:r>
        <w:t xml:space="preserve"> </w:t>
      </w:r>
      <w:r>
        <w:t xml:space="preserve">feeds directly into</w:t>
      </w:r>
      <w:r>
        <w:t xml:space="preserve"> </w:t>
      </w:r>
      <w:r>
        <w:rPr>
          <w:rStyle w:val="VerbatimChar"/>
        </w:rPr>
        <w:t xml:space="preserve">serocalculator</w:t>
      </w:r>
      <w:r>
        <w:t xml:space="preserve">’s</w:t>
      </w:r>
      <w:r>
        <w:t xml:space="preserve"> </w:t>
      </w:r>
      <w:r>
        <w:rPr>
          <w:rStyle w:val="VerbatimChar"/>
        </w:rPr>
        <w:t xml:space="preserve">est_seroincidence_by()</w:t>
      </w:r>
      <w:r>
        <w:t xml:space="preserve">.</w:t>
      </w:r>
    </w:p>
    <w:bookmarkEnd w:id="117"/>
    <w:bookmarkStart w:id="118" w:name="Xa625c662368e6f2938faae2901140a37208e45f"/>
    <w:p>
      <w:pPr>
        <w:pStyle w:val="Heading2"/>
      </w:pPr>
      <w:r>
        <w:t xml:space="preserve">6.6 Propagating uncertainty and heterogeneity</w:t>
      </w:r>
    </w:p>
    <w:p>
      <w:pPr>
        <w:pStyle w:val="FirstParagraph"/>
      </w:pPr>
      <w:r>
        <w:t xml:space="preserve">The seroresponse model</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 </w:t>
      </w:r>
      <w:r>
        <w:t xml:space="preserve">is</w:t>
      </w:r>
      <w:r>
        <w:t xml:space="preserve"> </w:t>
      </w:r>
      <w:r>
        <w:rPr>
          <w:b/>
          <w:bCs/>
        </w:rPr>
        <w:t xml:space="preserve">not a single fixed curve</w:t>
      </w:r>
      <w:r>
        <w:t xml:space="preserve">.</w:t>
      </w:r>
      <w:r>
        <w:t xml:space="preserve"> </w:t>
      </w:r>
      <w:r>
        <w:rPr>
          <w:rStyle w:val="VerbatimChar"/>
        </w:rPr>
        <w:t xml:space="preserve">serodynamics</w:t>
      </w:r>
      <w:r>
        <w:t xml:space="preserve"> </w:t>
      </w:r>
      <w:r>
        <w:t xml:space="preserve">returns a posterior</w:t>
      </w:r>
      <w:r>
        <w:t xml:space="preserve"> </w:t>
      </w:r>
      <w:r>
        <w:rPr>
          <w:b/>
          <w:bCs/>
        </w:rPr>
        <w:t xml:space="preserve">sample</w:t>
      </w:r>
      <w:r>
        <w:t xml:space="preserve"> </w:t>
      </w:r>
      <w:r>
        <w:t xml:space="preserve">of curve-parameter sets</w:t>
      </w:r>
      <w:r>
        <w:t xml:space="preserve"> </w:t>
      </w:r>
      <m:oMath>
        <m:sSup>
          <m:e>
            <m:r>
              <m:t>θ</m:t>
            </m:r>
          </m:e>
          <m:sup>
            <m:r>
              <m:rPr>
                <m:sty m:val="p"/>
              </m:rPr>
              <m:t>(</m:t>
            </m:r>
            <m:r>
              <m:t>1</m:t>
            </m:r>
            <m:r>
              <m:rPr>
                <m:sty m:val="p"/>
              </m:rPr>
              <m:t>)</m:t>
            </m:r>
          </m:sup>
        </m:sSup>
        <m:r>
          <m:rPr>
            <m:sty m:val="p"/>
          </m:rPr>
          <m:t>,</m:t>
        </m:r>
        <m:r>
          <m:rPr>
            <m:sty m:val="p"/>
          </m:rPr>
          <m:t>…</m:t>
        </m:r>
        <m:r>
          <m:rPr>
            <m:sty m:val="p"/>
          </m:rPr>
          <m:t>,</m:t>
        </m:r>
        <m:sSup>
          <m:e>
            <m:r>
              <m:t>θ</m:t>
            </m:r>
          </m:e>
          <m:sup>
            <m:r>
              <m:rPr>
                <m:sty m:val="p"/>
              </m:rPr>
              <m:t>(</m:t>
            </m:r>
            <m:r>
              <m:t>M</m:t>
            </m:r>
            <m:r>
              <m:rPr>
                <m:sty m:val="p"/>
              </m:rPr>
              <m:t>)</m:t>
            </m:r>
          </m:sup>
        </m:sSup>
      </m:oMath>
      <w:r>
        <w:t xml:space="preserve"> </w:t>
      </w:r>
      <w:r>
        <w:t xml:space="preserve">(each</w:t>
      </w:r>
      <w:r>
        <w:t xml:space="preserve"> </w:t>
      </w:r>
      <m:oMath>
        <m:sSup>
          <m:e>
            <m:r>
              <m:t>θ</m:t>
            </m:r>
          </m:e>
          <m:sup>
            <m:r>
              <m:rPr>
                <m:sty m:val="p"/>
              </m:rPr>
              <m:t>(</m:t>
            </m:r>
            <m:r>
              <m:t>k</m:t>
            </m:r>
            <m:r>
              <m:rPr>
                <m:sty m:val="p"/>
              </m:rPr>
              <m:t>)</m:t>
            </m:r>
          </m:sup>
        </m:sSup>
        <m:r>
          <m:rPr>
            <m:sty m:val="p"/>
          </m:rPr>
          <m:t>=</m:t>
        </m:r>
        <m:r>
          <m:rPr>
            <m:sty m:val="p"/>
          </m:rPr>
          <m:t>(</m:t>
        </m:r>
        <m:sSub>
          <m:e>
            <m:r>
              <m:t>y</m:t>
            </m:r>
          </m:e>
          <m:sub>
            <m:r>
              <m:t>0</m:t>
            </m:r>
          </m:sub>
        </m:sSub>
        <m:r>
          <m:rPr>
            <m:sty m:val="p"/>
          </m:rPr>
          <m:t>,</m:t>
        </m:r>
        <m:sSub>
          <m:e>
            <m:r>
              <m:t>y</m:t>
            </m:r>
          </m:e>
          <m:sub>
            <m:r>
              <m:t>1</m:t>
            </m:r>
          </m:sub>
        </m:sSub>
        <m:r>
          <m:rPr>
            <m:sty m:val="p"/>
          </m:rPr>
          <m:t>,</m:t>
        </m:r>
        <m:sSub>
          <m:e>
            <m:r>
              <m:t>t</m:t>
            </m:r>
          </m:e>
          <m:sub>
            <m:r>
              <m:t>1</m:t>
            </m:r>
          </m:sub>
        </m:sSub>
        <m:r>
          <m:rPr>
            <m:sty m:val="p"/>
          </m:rPr>
          <m:t>,</m:t>
        </m:r>
        <m:r>
          <m:t>α</m:t>
        </m:r>
        <m:r>
          <m:rPr>
            <m:sty m:val="p"/>
          </m:rPr>
          <m:t>,</m:t>
        </m:r>
        <m:r>
          <m:t>r</m:t>
        </m:r>
        <m:sSup>
          <m:e>
            <m:r>
              <m:rPr>
                <m:sty m:val="p"/>
              </m:rPr>
              <m:t>)</m:t>
            </m:r>
          </m:e>
          <m:sup>
            <m:r>
              <m:rPr>
                <m:sty m:val="p"/>
              </m:rPr>
              <m:t>(</m:t>
            </m:r>
            <m:r>
              <m:t>k</m:t>
            </m:r>
            <m:r>
              <m:rPr>
                <m:sty m:val="p"/>
              </m:rPr>
              <m:t>)</m:t>
            </m:r>
          </m:sup>
        </m:sSup>
      </m:oMath>
      <w:r>
        <w:t xml:space="preserve">),</w:t>
      </w:r>
      <w:r>
        <w:t xml:space="preserve"> </w:t>
      </w:r>
      <w:r>
        <w:t xml:space="preserve">which together capture both</w:t>
      </w:r>
    </w:p>
    <w:p>
      <w:pPr>
        <w:pStyle w:val="Compact"/>
        <w:numPr>
          <w:ilvl w:val="0"/>
          <w:numId w:val="1040"/>
        </w:numPr>
      </w:pPr>
      <w:r>
        <w:rPr>
          <w:b/>
          <w:bCs/>
        </w:rPr>
        <w:t xml:space="preserve">estimation uncertainty</w:t>
      </w:r>
      <w:r>
        <w:t xml:space="preserve"> </w:t>
      </w:r>
      <w:r>
        <w:t xml:space="preserve">in the kinetics parameters, and</w:t>
      </w:r>
    </w:p>
    <w:p>
      <w:pPr>
        <w:pStyle w:val="Compact"/>
        <w:numPr>
          <w:ilvl w:val="0"/>
          <w:numId w:val="1040"/>
        </w:numPr>
      </w:pPr>
      <w:r>
        <w:rPr>
          <w:b/>
          <w:bCs/>
        </w:rPr>
        <w:t xml:space="preserve">between-person / between-case heterogeneity</w:t>
      </w:r>
      <w:r>
        <w:t xml:space="preserve"> </w:t>
      </w:r>
      <w:r>
        <w:t xml:space="preserve">in the seroresponse.</w:t>
      </w:r>
    </w:p>
    <w:p>
      <w:pPr>
        <w:pStyle w:val="FirstParagraph"/>
      </w:pPr>
      <w:r>
        <w:t xml:space="preserve">Each draw is one plausible antibody-response curve; together they describe</w:t>
      </w:r>
      <w:r>
        <w:t xml:space="preserve"> </w:t>
      </w:r>
      <w:r>
        <w:t xml:space="preserve">the distribution of responses across cases and our uncertainty about it.</w:t>
      </w:r>
    </w:p>
    <w:p>
      <w:pPr>
        <w:pStyle w:val="BodyText"/>
      </w:pPr>
      <w:r>
        <w:t xml:space="preserve">The incidence likelihood</w:t>
      </w:r>
      <w:r>
        <w:t xml:space="preserve"> </w:t>
      </w:r>
      <w:r>
        <w:rPr>
          <w:b/>
          <w:bCs/>
        </w:rPr>
        <w:t xml:space="preserve">averages over these draws</w:t>
      </w:r>
      <w:r>
        <w:t xml:space="preserve"> </w:t>
      </w:r>
      <w:r>
        <w:t xml:space="preserve">(Monte Carlo</w:t>
      </w:r>
      <w:r>
        <w:t xml:space="preserve"> </w:t>
      </w:r>
      <w:r>
        <w:t xml:space="preserve">integration), so each person’s contribution becomes</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f>
            <m:fPr>
              <m:type m:val="bar"/>
            </m:fPr>
            <m:num>
              <m:r>
                <m:t>1</m:t>
              </m:r>
            </m:num>
            <m:den>
              <m:r>
                <m:t>M</m:t>
              </m:r>
            </m:den>
          </m:f>
          <m:nary>
            <m:naryPr>
              <m:chr m:val="∑"/>
              <m:limLoc m:val="undOvr"/>
              <m:subHide m:val="off"/>
              <m:supHide m:val="off"/>
            </m:naryPr>
            <m:sub>
              <m:r>
                <m:t>k</m:t>
              </m:r>
              <m:r>
                <m:rPr>
                  <m:sty m:val="p"/>
                </m:rPr>
                <m:t>=</m:t>
              </m:r>
              <m:r>
                <m:t>1</m:t>
              </m:r>
            </m:sub>
            <m:sup>
              <m:r>
                <m:t>M</m:t>
              </m:r>
            </m:sup>
            <m:e>
              <m:nary>
                <m:naryPr>
                  <m:chr m:val="∫"/>
                  <m:limLoc m:val="subSup"/>
                  <m:subHide m:val="off"/>
                  <m:supHide m:val="on"/>
                </m:naryPr>
                <m:sub>
                  <m:r>
                    <m:t>t</m:t>
                  </m:r>
                </m:sub>
                <m:sup>
                  <m:r>
                    <m:t>​</m:t>
                  </m:r>
                </m:sup>
                <m:e>
                  <m:r>
                    <m:rPr>
                      <m:sty m:val="p"/>
                    </m:rPr>
                    <m:t>p</m:t>
                  </m:r>
                </m:e>
              </m:nary>
            </m:e>
          </m:nary>
          <m:r>
            <m:rPr>
              <m:sty m:val="p"/>
            </m:rPr>
            <m:t>(</m:t>
          </m:r>
          <m:r>
            <m:t>Y</m:t>
          </m:r>
          <m:r>
            <m:rPr>
              <m:sty m:val="p"/>
            </m:rPr>
            <m:t>=</m:t>
          </m:r>
          <m:r>
            <m:t>y</m:t>
          </m:r>
          <m:r>
            <m:rPr>
              <m:sty m:val="p"/>
            </m:rPr>
            <m:t>|</m:t>
          </m:r>
          <m:r>
            <m:t>T</m:t>
          </m:r>
          <m:r>
            <m:rPr>
              <m:sty m:val="p"/>
            </m:rPr>
            <m:t>=</m:t>
          </m:r>
          <m:r>
            <m:t>t</m:t>
          </m:r>
          <m:r>
            <m:rPr>
              <m:sty m:val="p"/>
            </m:rPr>
            <m:t>,</m:t>
          </m:r>
          <m:sSup>
            <m:e>
              <m:r>
                <m:t>θ</m:t>
              </m:r>
            </m:e>
            <m:sup>
              <m:r>
                <m:rPr>
                  <m:sty m:val="p"/>
                </m:rPr>
                <m:t>(</m:t>
              </m:r>
              <m:r>
                <m:t>k</m:t>
              </m:r>
              <m:r>
                <m:rPr>
                  <m:sty m:val="p"/>
                </m:rPr>
                <m:t>)</m:t>
              </m:r>
            </m:sup>
          </m:sSup>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Because the curve-parameter distribution is marginalized into the likelihood</w:t>
      </w:r>
      <w:r>
        <w:t xml:space="preserve"> </w:t>
      </w:r>
      <w:r>
        <w:t xml:space="preserve">this way, the resulting</w:t>
      </w:r>
      <w:r>
        <w:t xml:space="preserve"> </w:t>
      </w:r>
      <m:oMath>
        <m:acc>
          <m:accPr>
            <m:chr m:val="̂"/>
          </m:accPr>
          <m:e>
            <m:r>
              <m:t>λ</m:t>
            </m:r>
          </m:e>
        </m:acc>
      </m:oMath>
      <w:r>
        <w:t xml:space="preserve"> </w:t>
      </w:r>
      <w:r>
        <w:t xml:space="preserve">and its standard error reflect the</w:t>
      </w:r>
      <w:r>
        <w:t xml:space="preserve"> </w:t>
      </w:r>
      <w:r>
        <w:t xml:space="preserve">seroresponse heterogeneity and the parameter uncertainty — they are not</w:t>
      </w:r>
      <w:r>
        <w:t xml:space="preserve"> </w:t>
      </w:r>
      <w:r>
        <w:t xml:space="preserve">conditional on a single point-estimated curve. In</w:t>
      </w:r>
      <w:r>
        <w:t xml:space="preserve"> </w:t>
      </w:r>
      <w:r>
        <w:rPr>
          <w:rStyle w:val="VerbatimChar"/>
        </w:rPr>
        <w:t xml:space="preserve">serocalculator</w:t>
      </w:r>
      <w:r>
        <w:t xml:space="preserve"> </w:t>
      </w:r>
      <w:r>
        <w:t xml:space="preserve">this is</w:t>
      </w:r>
      <w:r>
        <w:t xml:space="preserve"> </w:t>
      </w:r>
      <w:r>
        <w:t xml:space="preserve">the average over the Monte Carlo parameter sets (the</w:t>
      </w:r>
      <w:r>
        <w:t xml:space="preserve"> </w:t>
      </w:r>
      <w:r>
        <w:rPr>
          <w:rStyle w:val="VerbatimChar"/>
        </w:rPr>
        <w:t xml:space="preserve">iter</w:t>
      </w:r>
      <w:r>
        <w:t xml:space="preserve"> </w:t>
      </w:r>
      <w:r>
        <w:t xml:space="preserve">draws) carried in</w:t>
      </w:r>
      <w:r>
        <w:t xml:space="preserve"> </w:t>
      </w:r>
      <w:r>
        <w:t xml:space="preserve">the curve-parameter object.</w:t>
      </w:r>
    </w:p>
    <w:bookmarkEnd w:id="118"/>
    <w:bookmarkStart w:id="119" w:name="random-effects-and-variance-over-time"/>
    <w:p>
      <w:pPr>
        <w:pStyle w:val="Heading2"/>
      </w:pPr>
      <w:r>
        <w:t xml:space="preserve">6.7 Random effects and variance over time</w:t>
      </w:r>
    </w:p>
    <w:p>
      <w:pPr>
        <w:pStyle w:val="FirstParagraph"/>
      </w:pPr>
      <w:r>
        <w:t xml:space="preserve">The longitudinal model distinguishes two kinds of variation:</w:t>
      </w:r>
    </w:p>
    <w:p>
      <w:pPr>
        <w:pStyle w:val="Compact"/>
        <w:numPr>
          <w:ilvl w:val="0"/>
          <w:numId w:val="1041"/>
        </w:numPr>
      </w:pPr>
      <w:r>
        <w:rPr>
          <w:b/>
          <w:bCs/>
        </w:rPr>
        <w:t xml:space="preserve">Conditional observation noise:</w:t>
      </w:r>
      <w:r>
        <w:t xml:space="preserve"> </w:t>
      </w:r>
      <w:r>
        <w:t xml:space="preserve">given a person’s kinetic parameters</w:t>
      </w:r>
      <w:r>
        <w:t xml:space="preserve"> </w:t>
      </w:r>
      <m:oMath>
        <m:sSub>
          <m:e>
            <m:r>
              <m:t>θ</m:t>
            </m:r>
          </m:e>
          <m:sub>
            <m:r>
              <m:t>i</m:t>
            </m:r>
          </m:sub>
        </m:sSub>
      </m:oMath>
      <w:r>
        <w:t xml:space="preserve">, residual noise has constant variance on the log-antibody scale.</w:t>
      </w:r>
    </w:p>
    <w:p>
      <w:pPr>
        <w:pStyle w:val="Compact"/>
        <w:numPr>
          <w:ilvl w:val="0"/>
          <w:numId w:val="1041"/>
        </w:numPr>
      </w:pPr>
      <w:r>
        <w:rPr>
          <w:b/>
          <w:bCs/>
        </w:rPr>
        <w:t xml:space="preserve">Marginal population variation:</w:t>
      </w:r>
      <w:r>
        <w:t xml:space="preserve"> </w:t>
      </w:r>
      <w:r>
        <w:t xml:space="preserve">because</w:t>
      </w:r>
      <w:r>
        <w:t xml:space="preserve"> </w:t>
      </w:r>
      <m:oMath>
        <m:sSub>
          <m:e>
            <m:r>
              <m:t>θ</m:t>
            </m:r>
          </m:e>
          <m:sub>
            <m:r>
              <m:t>i</m:t>
            </m:r>
          </m:sub>
        </m:sSub>
      </m:oMath>
      <w:r>
        <w:t xml:space="preserve"> </w:t>
      </w:r>
      <w:r>
        <w:t xml:space="preserve">includes random</w:t>
      </w:r>
      <w:r>
        <w:t xml:space="preserve"> </w:t>
      </w:r>
      <w:r>
        <w:t xml:space="preserve">effects — notably the waning rate</w:t>
      </w:r>
      <w:r>
        <w:t xml:space="preserve"> </w:t>
      </w:r>
      <m:oMath>
        <m:sSub>
          <m:e>
            <m:r>
              <m:t>α</m:t>
            </m:r>
          </m:e>
          <m:sub>
            <m:r>
              <m:t>i</m:t>
            </m:r>
          </m:sub>
        </m:sSub>
      </m:oMath>
      <w:r>
        <w:t xml:space="preserve"> </w:t>
      </w:r>
      <w:r>
        <w:t xml:space="preserve">— individual trajectories</w:t>
      </w:r>
      <w:r>
        <w:t xml:space="preserve"> </w:t>
      </w:r>
      <w:r>
        <w:t xml:space="preserve">can spread apart with increasing time since infection.</w:t>
      </w:r>
    </w:p>
    <w:p>
      <w:pPr>
        <w:pStyle w:val="FirstParagraph"/>
      </w:pPr>
      <w:r>
        <w:t xml:space="preserve">Thus, even without an explicit time-varying residual variance</w:t>
      </w:r>
      <w:r>
        <w:t xml:space="preserve"> </w:t>
      </w:r>
      <m:oMath>
        <m:sSup>
          <m:e>
            <m:r>
              <m:t>σ</m:t>
            </m:r>
          </m:e>
          <m:sup>
            <m:r>
              <m:t>2</m:t>
            </m:r>
          </m:sup>
        </m:sSup>
        <m:r>
          <m:rPr>
            <m:sty m:val="p"/>
          </m:rPr>
          <m:t>(</m:t>
        </m:r>
        <m:r>
          <m:t>t</m:t>
        </m:r>
        <m:r>
          <m:rPr>
            <m:sty m:val="p"/>
          </m:rPr>
          <m:t>)</m:t>
        </m:r>
      </m:oMath>
      <w:r>
        <w:t xml:space="preserve">,</w:t>
      </w:r>
      <w:r>
        <w:t xml:space="preserve"> </w:t>
      </w:r>
      <w:r>
        <w:t xml:space="preserve">the variance around the population mean trajectory can vary with</w:t>
      </w:r>
      <w:r>
        <w:t xml:space="preserve"> </w:t>
      </w:r>
      <m:oMath>
        <m:r>
          <m:t>t</m:t>
        </m:r>
      </m:oMath>
      <w:r>
        <w:t xml:space="preserve">:</w:t>
      </w:r>
    </w:p>
    <w:p>
      <w:pPr>
        <w:pStyle w:val="BodyText"/>
      </w:pPr>
      <m:oMathPara>
        <m:oMathParaPr>
          <m:jc m:val="center"/>
        </m:oMathParaPr>
        <m:oMath>
          <m:r>
            <m:rPr>
              <m:sty m:val="p"/>
            </m:rPr>
            <m:t>Var</m:t>
          </m:r>
          <m:r>
            <m:rPr>
              <m:sty m:val="p"/>
            </m:rPr>
            <m:t>(</m:t>
          </m:r>
          <m:r>
            <m:rPr>
              <m:sty m:val="p"/>
            </m:rPr>
            <m:t>log</m:t>
          </m:r>
          <m:r>
            <m:t>Y</m:t>
          </m:r>
          <m:r>
            <m:rPr>
              <m:sty m:val="p"/>
            </m:rPr>
            <m:t>(</m:t>
          </m:r>
          <m:r>
            <m:t>t</m:t>
          </m:r>
          <m:r>
            <m:rPr>
              <m:sty m:val="p"/>
            </m:rPr>
            <m:t>)</m:t>
          </m:r>
          <m:r>
            <m:rPr>
              <m:sty m:val="p"/>
            </m:rPr>
            <m:t>∣</m:t>
          </m:r>
          <m:r>
            <m:t>T</m:t>
          </m:r>
          <m:r>
            <m:rPr>
              <m:sty m:val="p"/>
            </m:rPr>
            <m:t>=</m:t>
          </m:r>
          <m:r>
            <m:t>t</m:t>
          </m:r>
          <m:r>
            <m:rPr>
              <m:sty m:val="p"/>
            </m:rPr>
            <m:t>)</m:t>
          </m:r>
          <m:r>
            <m:rPr>
              <m:sty m:val="p"/>
            </m:rPr>
            <m:t>=</m:t>
          </m:r>
          <m:sSubSup>
            <m:e>
              <m:r>
                <m:t>σ</m:t>
              </m:r>
            </m:e>
            <m:sub>
              <m:r>
                <m:rPr>
                  <m:sty m:val="p"/>
                </m:rPr>
                <m:t>log</m:t>
              </m:r>
              <m:r>
                <m:t>Y</m:t>
              </m:r>
            </m:sub>
            <m:sup>
              <m:r>
                <m:t>2</m:t>
              </m:r>
            </m:sup>
          </m:sSubSup>
          <m:r>
            <m:rPr>
              <m:sty m:val="p"/>
            </m:rPr>
            <m:t>+</m:t>
          </m:r>
          <m:sSub>
            <m:e>
              <m:r>
                <m:rPr>
                  <m:sty m:val="p"/>
                </m:rPr>
                <m:t>Var</m:t>
              </m:r>
            </m:e>
            <m:sub>
              <m:r>
                <m:t>θ</m:t>
              </m:r>
            </m:sub>
          </m:sSub>
          <m:r>
            <m:t>​</m:t>
          </m:r>
          <m:d>
            <m:dPr>
              <m:begChr m:val="["/>
              <m:sepChr m:val=""/>
              <m:endChr m:val="]"/>
              <m:grow/>
            </m:dPr>
            <m:e>
              <m:r>
                <m:rPr>
                  <m:sty m:val="p"/>
                </m:rPr>
                <m:t>log</m:t>
              </m:r>
              <m:r>
                <m:t>y</m:t>
              </m:r>
              <m:r>
                <m:rPr>
                  <m:sty m:val="p"/>
                </m:rPr>
                <m:t>(</m:t>
              </m:r>
              <m:r>
                <m:t>t</m:t>
              </m:r>
              <m:r>
                <m:rPr>
                  <m:sty m:val="p"/>
                </m:rPr>
                <m:t>;</m:t>
              </m:r>
              <m:r>
                <m:t>θ</m:t>
              </m:r>
              <m:r>
                <m:rPr>
                  <m:sty m:val="p"/>
                </m:rPr>
                <m:t>)</m:t>
              </m:r>
            </m:e>
          </m:d>
          <m:r>
            <m:rPr>
              <m:sty m:val="p"/>
            </m:rPr>
            <m:t>.</m:t>
          </m:r>
        </m:oMath>
      </m:oMathPara>
    </w:p>
    <w:p>
      <w:pPr>
        <w:pStyle w:val="FirstParagraph"/>
      </w:pPr>
      <w:r>
        <w:t xml:space="preserve">This is the distinction between</w:t>
      </w:r>
      <w:r>
        <w:t xml:space="preserve"> </w:t>
      </w:r>
      <w:r>
        <w:rPr>
          <w:i/>
          <w:iCs/>
        </w:rPr>
        <w:t xml:space="preserve">conditional</w:t>
      </w:r>
      <w:r>
        <w:t xml:space="preserve"> </w:t>
      </w:r>
      <w:r>
        <w:t xml:space="preserve">and</w:t>
      </w:r>
      <w:r>
        <w:t xml:space="preserve"> </w:t>
      </w:r>
      <w:r>
        <w:rPr>
          <w:i/>
          <w:iCs/>
        </w:rPr>
        <w:t xml:space="preserve">marginal</w:t>
      </w:r>
      <w:r>
        <w:t xml:space="preserve"> </w:t>
      </w:r>
      <w:r>
        <w:t xml:space="preserve">heteroscedasticity. The</w:t>
      </w:r>
      <w:r>
        <w:t xml:space="preserve"> </w:t>
      </w:r>
      <w:r>
        <w:rPr>
          <w:rStyle w:val="VerbatimChar"/>
        </w:rPr>
        <w:t xml:space="preserve">serodynamics</w:t>
      </w:r>
      <w:r>
        <w:t xml:space="preserve"> </w:t>
      </w:r>
      <w:r>
        <w:t xml:space="preserve">observation model uses one residual</w:t>
      </w:r>
      <w:r>
        <w:t xml:space="preserve"> </w:t>
      </w:r>
      <w:r>
        <w:t xml:space="preserve">precision per antigen-isotype, shared across subjects and observation times.</w:t>
      </w:r>
      <w:r>
        <w:t xml:space="preserve"> </w:t>
      </w:r>
      <w:r>
        <w:t xml:space="preserve">It therefore does not fit an additional residual-variance function of time.</w:t>
      </w:r>
    </w:p>
    <w:p>
      <w:pPr>
        <w:pStyle w:val="BodyText"/>
      </w:pPr>
      <w:r>
        <w:t xml:space="preserve">Nevertheless, its subject-level kinetic parameters are random effects with a</w:t>
      </w:r>
      <w:r>
        <w:t xml:space="preserve"> </w:t>
      </w:r>
      <w:r>
        <w:t xml:space="preserve">joint distribution. For illustration, if post-peak decay were exponential</w:t>
      </w:r>
      <w:r>
        <w:t xml:space="preserve"> </w:t>
      </w:r>
      <w:r>
        <w:t xml:space="preserve">(</w:t>
      </w:r>
      <m:oMath>
        <m:r>
          <m:t>r</m:t>
        </m:r>
        <m:r>
          <m:rPr>
            <m:sty m:val="p"/>
          </m:rPr>
          <m:t>=</m:t>
        </m:r>
        <m:r>
          <m:t>1</m:t>
        </m:r>
      </m:oMath>
      <w:r>
        <w:t xml:space="preserve">), with the other parameters held fixed,</w:t>
      </w:r>
    </w:p>
    <w:p>
      <w:pPr>
        <w:pStyle w:val="BodyText"/>
      </w:pPr>
      <m:oMathPara>
        <m:oMathParaPr>
          <m:jc m:val="center"/>
        </m:oMathParaPr>
        <m:oMath>
          <m:r>
            <m:rPr>
              <m:sty m:val="p"/>
            </m:rPr>
            <m:t>log</m:t>
          </m:r>
          <m:sSub>
            <m:e>
              <m:r>
                <m:t>y</m:t>
              </m:r>
            </m:e>
            <m:sub>
              <m:r>
                <m:t>i</m:t>
              </m:r>
            </m:sub>
          </m:sSub>
          <m:r>
            <m:rPr>
              <m:sty m:val="p"/>
            </m:rPr>
            <m:t>(</m:t>
          </m:r>
          <m:r>
            <m:t>t</m:t>
          </m:r>
          <m:r>
            <m:rPr>
              <m:sty m:val="p"/>
            </m:rPr>
            <m:t>)</m:t>
          </m:r>
          <m:r>
            <m:rPr>
              <m:sty m:val="p"/>
            </m:rPr>
            <m:t>=</m:t>
          </m:r>
          <m:r>
            <m:rPr>
              <m:sty m:val="p"/>
            </m:rPr>
            <m:t>log</m:t>
          </m:r>
          <m:sSub>
            <m:e>
              <m:r>
                <m:t>y</m:t>
              </m:r>
            </m:e>
            <m:sub>
              <m:r>
                <m:t>1</m:t>
              </m:r>
            </m:sub>
          </m:sSub>
          <m:r>
            <m:rPr>
              <m:sty m:val="p"/>
            </m:rPr>
            <m:t>−</m:t>
          </m:r>
          <m:sSub>
            <m:e>
              <m:r>
                <m:t>α</m:t>
              </m:r>
            </m:e>
            <m:sub>
              <m:r>
                <m:t>i</m:t>
              </m:r>
            </m:sub>
          </m:sSub>
          <m:r>
            <m:rPr>
              <m:sty m:val="p"/>
            </m:rPr>
            <m:t>(</m:t>
          </m:r>
          <m:r>
            <m:t>t</m:t>
          </m:r>
          <m:r>
            <m:rPr>
              <m:sty m:val="p"/>
            </m:rPr>
            <m:t>−</m:t>
          </m:r>
          <m:sSub>
            <m:e>
              <m:r>
                <m:t>t</m:t>
              </m:r>
            </m:e>
            <m:sub>
              <m:r>
                <m:t>1</m:t>
              </m:r>
            </m:sub>
          </m:sSub>
          <m:r>
            <m:rPr>
              <m:sty m:val="p"/>
            </m:rPr>
            <m:t>)</m:t>
          </m:r>
          <m:r>
            <m:rPr>
              <m:sty m:val="p"/>
            </m:rPr>
            <m:t>,</m:t>
          </m:r>
        </m:oMath>
      </m:oMathPara>
    </w:p>
    <w:p>
      <w:pPr>
        <w:pStyle w:val="FirstParagraph"/>
      </w:pPr>
      <w:r>
        <w:t xml:space="preserve">so variation in</w:t>
      </w:r>
      <w:r>
        <w:t xml:space="preserve"> </w:t>
      </w:r>
      <m:oMath>
        <m:sSub>
          <m:e>
            <m:r>
              <m:t>α</m:t>
            </m:r>
          </m:e>
          <m:sub>
            <m:r>
              <m:t>i</m:t>
            </m:r>
          </m:sub>
        </m:sSub>
      </m:oMath>
      <w:r>
        <w:t xml:space="preserve"> </w:t>
      </w:r>
      <w:r>
        <w:t xml:space="preserve">alone contributes</w:t>
      </w:r>
      <w:r>
        <w:t xml:space="preserve"> </w:t>
      </w:r>
      <m:oMath>
        <m:r>
          <m:rPr>
            <m:sty m:val="p"/>
          </m:rPr>
          <m:t>(</m:t>
        </m:r>
        <m:r>
          <m:t>t</m:t>
        </m:r>
        <m:r>
          <m:rPr>
            <m:sty m:val="p"/>
          </m:rPr>
          <m:t>−</m:t>
        </m:r>
        <m:sSub>
          <m:e>
            <m:r>
              <m:t>t</m:t>
            </m:r>
          </m:e>
          <m:sub>
            <m:r>
              <m:t>1</m:t>
            </m:r>
          </m:sub>
        </m:sSub>
        <m:sSup>
          <m:e>
            <m:r>
              <m:rPr>
                <m:sty m:val="p"/>
              </m:rPr>
              <m:t>)</m:t>
            </m:r>
          </m:e>
          <m:sup>
            <m:r>
              <m:t>2</m:t>
            </m:r>
          </m:sup>
        </m:sSup>
        <m:r>
          <m:rPr>
            <m:sty m:val="p"/>
          </m:rPr>
          <m:t>Var</m:t>
        </m:r>
        <m:r>
          <m:rPr>
            <m:sty m:val="p"/>
          </m:rPr>
          <m:t>(</m:t>
        </m:r>
        <m:sSub>
          <m:e>
            <m:r>
              <m:t>α</m:t>
            </m:r>
          </m:e>
          <m:sub>
            <m:r>
              <m:t>i</m:t>
            </m:r>
          </m:sub>
        </m:sSub>
        <m:r>
          <m:rPr>
            <m:sty m:val="p"/>
          </m:rPr>
          <m:t>)</m:t>
        </m:r>
      </m:oMath>
      <w:r>
        <w:t xml:space="preserve"> </w:t>
      </w:r>
      <w:r>
        <w:t xml:space="preserve">to the population variance on the log</w:t>
      </w:r>
      <w:r>
        <w:t xml:space="preserve"> </w:t>
      </w:r>
      <w:r>
        <w:t xml:space="preserve">scale. The full nonlinear model also allows the other kinetic parameters and</w:t>
      </w:r>
      <w:r>
        <w:t xml:space="preserve"> </w:t>
      </w:r>
      <w:r>
        <w:t xml:space="preserve">their correlations to affect how the variance changes over time.</w:t>
      </w:r>
    </w:p>
    <w:p>
      <w:pPr>
        <w:pStyle w:val="BodyText"/>
      </w:pPr>
      <w:r>
        <w:rPr>
          <w:rStyle w:val="VerbatimChar"/>
        </w:rPr>
        <w:t xml:space="preserve">serocalculator</w:t>
      </w:r>
      <w:r>
        <w:t xml:space="preserve"> </w:t>
      </w:r>
      <w:r>
        <w:t xml:space="preserve">accounts for this trajectory-induced variation by averaging</w:t>
      </w:r>
      <w:r>
        <w:t xml:space="preserve"> </w:t>
      </w:r>
      <w:r>
        <w:t xml:space="preserve">the incidence likelihood over the Monte Carlo sample of kinetic-parameter</w:t>
      </w:r>
      <w:r>
        <w:t xml:space="preserve"> </w:t>
      </w:r>
      <w:r>
        <w:t xml:space="preserve">sets. It does not reclassify that variation as observation noise or replace it</w:t>
      </w:r>
      <w:r>
        <w:t xml:space="preserve"> </w:t>
      </w:r>
      <w:r>
        <w:t xml:space="preserve">with a fitted</w:t>
      </w:r>
      <w:r>
        <w:t xml:space="preserve"> </w:t>
      </w:r>
      <m:oMath>
        <m:sSup>
          <m:e>
            <m:r>
              <m:t>σ</m:t>
            </m:r>
          </m:e>
          <m:sup>
            <m:r>
              <m:t>2</m:t>
            </m:r>
          </m:sup>
        </m:sSup>
        <m:r>
          <m:rPr>
            <m:sty m:val="p"/>
          </m:rPr>
          <m:t>(</m:t>
        </m:r>
        <m:r>
          <m:t>t</m:t>
        </m:r>
        <m:r>
          <m:rPr>
            <m:sty m:val="p"/>
          </m:rPr>
          <m:t>)</m:t>
        </m:r>
      </m:oMath>
      <w:r>
        <w:t xml:space="preserve">. Its separate biological- and measurement-noise</w:t>
      </w:r>
      <w:r>
        <w:t xml:space="preserve"> </w:t>
      </w:r>
      <w:r>
        <w:t xml:space="preserve">models have constant additive and relative widths, respectively; neither</w:t>
      </w:r>
      <w:r>
        <w:t xml:space="preserve"> </w:t>
      </w:r>
      <w:r>
        <w:t xml:space="preserve">width is an explicit function of time since infection.</w:t>
      </w:r>
    </w:p>
    <w:bookmarkEnd w:id="119"/>
    <w:bookmarkEnd w:id="120"/>
    <w:bookmarkStart w:id="129" w:name="using-serocalculator"/>
    <w:p>
      <w:pPr>
        <w:pStyle w:val="Heading1"/>
      </w:pPr>
      <w:r>
        <w:t xml:space="preserve">7. Using</w:t>
      </w:r>
      <w:r>
        <w:t xml:space="preserve"> </w:t>
      </w:r>
      <w:r>
        <w:rPr>
          <w:rStyle w:val="VerbatimChar"/>
        </w:rPr>
        <w:t xml:space="preserve">serocalculator</w:t>
      </w:r>
    </w:p>
    <w:bookmarkStart w:id="122" w:name="an-open-source-r-package"/>
    <w:p>
      <w:pPr>
        <w:pStyle w:val="Heading2"/>
      </w:pPr>
      <w:r>
        <w:t xml:space="preserve">7.1 An open-source R package</w:t>
      </w:r>
    </w:p>
    <w:p>
      <w:pPr>
        <w:pStyle w:val="FirstParagraph"/>
      </w:pPr>
      <w:r>
        <w:t xml:space="preserve">The methods in this lecture are implemented in the open-source</w:t>
      </w:r>
      <w:r>
        <w:t xml:space="preserve"> </w:t>
      </w:r>
      <w:hyperlink r:id="rId121">
        <w:r>
          <w:rPr>
            <w:rStyle w:val="VerbatimChar"/>
          </w:rPr>
          <w:t xml:space="preserve">serocalculator</w:t>
        </w:r>
      </w:hyperlink>
      <w:r>
        <w:t xml:space="preserve"> </w:t>
      </w:r>
      <w:r>
        <w:t xml:space="preserve">R package.</w:t>
      </w:r>
    </w:p>
    <w:p>
      <w:pPr>
        <w:pStyle w:val="SourceCode"/>
      </w:pPr>
      <w:r>
        <w:rPr>
          <w:rStyle w:val="FunctionTok"/>
        </w:rPr>
        <w:t xml:space="preserve">library</w:t>
      </w:r>
      <w:r>
        <w:rPr>
          <w:rStyle w:val="NormalTok"/>
        </w:rPr>
        <w:t xml:space="preserve">(serocalculator)</w:t>
      </w:r>
      <w:r>
        <w:br/>
      </w:r>
      <w:r>
        <w:br/>
      </w:r>
      <w:r>
        <w:rPr>
          <w:rStyle w:val="CommentTok"/>
        </w:rPr>
        <w:t xml:space="preserve"># Load antibody-decay curve parameters and cross-sectional population data</w:t>
      </w:r>
      <w:r>
        <w:br/>
      </w:r>
      <w:r>
        <w:rPr>
          <w:rStyle w:val="NormalTok"/>
        </w:rPr>
        <w:t xml:space="preserve">curves </w:t>
      </w:r>
      <w:r>
        <w:rPr>
          <w:rStyle w:val="OtherTok"/>
        </w:rPr>
        <w:t xml:space="preserve">&lt;-</w:t>
      </w:r>
      <w:r>
        <w:rPr>
          <w:rStyle w:val="NormalTok"/>
        </w:rPr>
        <w:t xml:space="preserve"> </w:t>
      </w:r>
      <w:r>
        <w:rPr>
          <w:rStyle w:val="StringTok"/>
        </w:rPr>
        <w:t xml:space="preserve">"https://osf.io/download/rtw5k/"</w:t>
      </w:r>
      <w:r>
        <w:rPr>
          <w:rStyle w:val="NormalTok"/>
        </w:rPr>
        <w:t xml:space="preserve"> </w:t>
      </w:r>
      <w:r>
        <w:rPr>
          <w:rStyle w:val="SpecialCharTok"/>
        </w:rPr>
        <w:t xml:space="preserve">|&gt;</w:t>
      </w:r>
      <w:r>
        <w:rPr>
          <w:rStyle w:val="NormalTok"/>
        </w:rPr>
        <w:t xml:space="preserve"> </w:t>
      </w:r>
      <w:r>
        <w:rPr>
          <w:rStyle w:val="FunctionTok"/>
        </w:rPr>
        <w:t xml:space="preserve">load_sr_params</w:t>
      </w:r>
      <w:r>
        <w:rPr>
          <w:rStyle w:val="NormalTok"/>
        </w:rPr>
        <w:t xml:space="preserve">()</w:t>
      </w:r>
      <w:r>
        <w:br/>
      </w:r>
      <w:r>
        <w:rPr>
          <w:rStyle w:val="NormalTok"/>
        </w:rPr>
        <w:t xml:space="preserve">xs_data </w:t>
      </w:r>
      <w:r>
        <w:rPr>
          <w:rStyle w:val="OtherTok"/>
        </w:rPr>
        <w:t xml:space="preserve">&lt;-</w:t>
      </w:r>
      <w:r>
        <w:rPr>
          <w:rStyle w:val="NormalTok"/>
        </w:rPr>
        <w:t xml:space="preserve"> </w:t>
      </w:r>
      <w:r>
        <w:rPr>
          <w:rStyle w:val="StringTok"/>
        </w:rPr>
        <w:t xml:space="preserve">"https://osf.io/download/n6cp3/"</w:t>
      </w:r>
      <w:r>
        <w:rPr>
          <w:rStyle w:val="NormalTok"/>
        </w:rPr>
        <w:t xml:space="preserve"> </w:t>
      </w:r>
      <w:r>
        <w:rPr>
          <w:rStyle w:val="SpecialCharTok"/>
        </w:rPr>
        <w:t xml:space="preserve">|&gt;</w:t>
      </w:r>
      <w:r>
        <w:rPr>
          <w:rStyle w:val="NormalTok"/>
        </w:rPr>
        <w:t xml:space="preserve"> </w:t>
      </w:r>
      <w:r>
        <w:rPr>
          <w:rStyle w:val="FunctionTok"/>
        </w:rPr>
        <w:t xml:space="preserve">load_pop_data</w:t>
      </w:r>
      <w:r>
        <w:rPr>
          <w:rStyle w:val="NormalTok"/>
        </w:rPr>
        <w:t xml:space="preserve">()</w:t>
      </w:r>
      <w:r>
        <w:br/>
      </w:r>
      <w:r>
        <w:rPr>
          <w:rStyle w:val="NormalTok"/>
        </w:rPr>
        <w:t xml:space="preserve">noise </w:t>
      </w:r>
      <w:r>
        <w:rPr>
          <w:rStyle w:val="OtherTok"/>
        </w:rPr>
        <w:t xml:space="preserve">&lt;-</w:t>
      </w:r>
      <w:r>
        <w:rPr>
          <w:rStyle w:val="NormalTok"/>
        </w:rPr>
        <w:t xml:space="preserve"> </w:t>
      </w:r>
      <w:r>
        <w:rPr>
          <w:rStyle w:val="FunctionTok"/>
        </w:rPr>
        <w:t xml:space="preserve">url</w:t>
      </w:r>
      <w:r>
        <w:rPr>
          <w:rStyle w:val="NormalTok"/>
        </w:rPr>
        <w:t xml:space="preserve">(</w:t>
      </w:r>
      <w:r>
        <w:rPr>
          <w:rStyle w:val="StringTok"/>
        </w:rPr>
        <w:t xml:space="preserve">"https://osf.io/download/hqy4v/"</w:t>
      </w:r>
      <w:r>
        <w:rPr>
          <w:rStyle w:val="NormalTok"/>
        </w:rPr>
        <w:t xml:space="preserve">) </w:t>
      </w:r>
      <w:r>
        <w:rPr>
          <w:rStyle w:val="SpecialCharTok"/>
        </w:rPr>
        <w:t xml:space="preserve">|&gt;</w:t>
      </w:r>
      <w:r>
        <w:rPr>
          <w:rStyle w:val="NormalTok"/>
        </w:rPr>
        <w:t xml:space="preserve"> </w:t>
      </w:r>
      <w:r>
        <w:rPr>
          <w:rStyle w:val="FunctionTok"/>
        </w:rPr>
        <w:t xml:space="preserve">readRDS</w:t>
      </w:r>
      <w:r>
        <w:rPr>
          <w:rStyle w:val="NormalTok"/>
        </w:rPr>
        <w:t xml:space="preserve">()</w:t>
      </w:r>
      <w:r>
        <w:br/>
      </w:r>
      <w:r>
        <w:br/>
      </w:r>
      <w:r>
        <w:rPr>
          <w:rStyle w:val="CommentTok"/>
        </w:rPr>
        <w:t xml:space="preserve"># Visualize the cross-sectional antibody distribution</w:t>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w:t>
      </w:r>
    </w:p>
    <w:bookmarkEnd w:id="122"/>
    <w:bookmarkStart w:id="123" w:name="estimating-seroincidence"/>
    <w:p>
      <w:pPr>
        <w:pStyle w:val="Heading2"/>
      </w:pPr>
      <w:r>
        <w:t xml:space="preserve">7.2 Estimating seroincidence</w:t>
      </w:r>
    </w:p>
    <w:p>
      <w:pPr>
        <w:pStyle w:val="FirstParagraph"/>
      </w:pPr>
      <w:r>
        <w:rPr>
          <w:rStyle w:val="VerbatimChar"/>
        </w:rPr>
        <w:t xml:space="preserve">est_seroincidence_by()</w:t>
      </w:r>
      <w:r>
        <w:t xml:space="preserve"> </w:t>
      </w:r>
      <w:r>
        <w:t xml:space="preserve">maximizes the log-likelihood</w:t>
      </w:r>
      <w:r>
        <w:t xml:space="preserve"> </w:t>
      </w:r>
      <m:oMath>
        <m:r>
          <m:rPr>
            <m:sty m:val="p"/>
          </m:rPr>
          <m:t>log</m:t>
        </m:r>
        <m:r>
          <m:rPr>
            <m:scr m:val="script"/>
            <m:sty m:val="p"/>
          </m:rPr>
          <m:t>L</m:t>
        </m:r>
        <m:r>
          <m:rPr>
            <m:sty m:val="p"/>
          </m:rPr>
          <m:t>(</m:t>
        </m:r>
        <m:r>
          <m:t>λ</m:t>
        </m:r>
        <m:r>
          <m:rPr>
            <m:sty m:val="p"/>
          </m:rPr>
          <m:t>)</m:t>
        </m:r>
      </m:oMath>
      <w:r>
        <w:t xml:space="preserve"> </w:t>
      </w:r>
      <w:r>
        <w:t xml:space="preserve">derived above,</w:t>
      </w:r>
      <w:r>
        <w:t xml:space="preserve"> </w:t>
      </w:r>
      <w:r>
        <w:t xml:space="preserve">separately within each stratum,</w:t>
      </w:r>
      <w:r>
        <w:t xml:space="preserve"> </w:t>
      </w:r>
      <w:r>
        <w:t xml:space="preserve">and</w:t>
      </w:r>
      <w:r>
        <w:t xml:space="preserve"> </w:t>
      </w:r>
      <w:r>
        <w:rPr>
          <w:rStyle w:val="VerbatimChar"/>
        </w:rPr>
        <w:t xml:space="preserve">summary()</w:t>
      </w:r>
      <w:r>
        <w:t xml:space="preserve"> </w:t>
      </w:r>
      <w:r>
        <w:t xml:space="preserve">reports each stratum’s</w:t>
      </w:r>
      <w:r>
        <w:t xml:space="preserve"> </w:t>
      </w:r>
      <m:oMath>
        <m:acc>
          <m:accPr>
            <m:chr m:val="̂"/>
          </m:accPr>
          <m:e>
            <m:r>
              <m:t>λ</m:t>
            </m:r>
          </m:e>
        </m:acc>
      </m:oMath>
      <w:r>
        <w:t xml:space="preserve"> </w:t>
      </w:r>
      <w:r>
        <w:t xml:space="preserve">with a standard error and confidence interval</w:t>
      </w:r>
      <w:r>
        <w:t xml:space="preserve"> </w:t>
      </w:r>
      <w:r>
        <w:t xml:space="preserve">(cluster-robust, if</w:t>
      </w:r>
      <w:r>
        <w:t xml:space="preserve"> </w:t>
      </w:r>
      <w:r>
        <w:rPr>
          <w:rStyle w:val="VerbatimChar"/>
        </w:rPr>
        <w:t xml:space="preserve">cluster_var</w:t>
      </w:r>
      <w:r>
        <w:t xml:space="preserve"> </w:t>
      </w:r>
      <w:r>
        <w:t xml:space="preserve">was supplied):</w:t>
      </w:r>
    </w:p>
    <w:p>
      <w:pPr>
        <w:pStyle w:val="SourceCode"/>
      </w:pPr>
      <w:r>
        <w:rPr>
          <w:rStyle w:val="CommentTok"/>
        </w:rPr>
        <w:t xml:space="preserve"># Estimate incidence, stratified by country and age group</w:t>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w:t>
      </w:r>
    </w:p>
    <w:p>
      <w:pPr>
        <w:pStyle w:val="FirstParagraph"/>
      </w:pPr>
      <w:r>
        <w:t xml:space="preserve">Stratifying this way also makes the constant-and-homogeneous-incidence</w:t>
      </w:r>
      <w:r>
        <w:t xml:space="preserve"> </w:t>
      </w:r>
      <w:r>
        <w:t xml:space="preserve">assumption more plausible within each stratum,</w:t>
      </w:r>
      <w:r>
        <w:t xml:space="preserve"> </w:t>
      </w:r>
      <w:r>
        <w:t xml:space="preserve">and lets each stratum use the seroresponse parameters appropriate to it.</w:t>
      </w:r>
    </w:p>
    <w:bookmarkEnd w:id="123"/>
    <w:bookmarkStart w:id="128" w:name="interactive-shiny-app"/>
    <w:p>
      <w:pPr>
        <w:pStyle w:val="Heading2"/>
      </w:pPr>
      <w:r>
        <w:t xml:space="preserve">7.3 Interactive Shiny app</w:t>
      </w:r>
    </w:p>
    <w:p>
      <w:pPr>
        <w:pStyle w:val="FirstParagraph"/>
      </w:pPr>
      <w:r>
        <w:t xml:space="preserve">A point-and-click interface is available at</w:t>
      </w:r>
      <w:r>
        <w:t xml:space="preserve"> </w:t>
      </w:r>
      <w:hyperlink r:id="rId124">
        <w:r>
          <w:rPr>
            <w:rStyle w:val="Hyperlink"/>
          </w:rPr>
          <w:t xml:space="preserve">https://ucdserg.shinyapps.io/shiny_serocalculator/</w:t>
        </w:r>
      </w:hyperlink>
      <w:r>
        <w:t xml:space="preserve">.</w:t>
      </w:r>
    </w:p>
    <w:p>
      <w:pPr>
        <w:pStyle w:val="CaptionedFigure"/>
      </w:pPr>
      <w:r>
        <w:drawing>
          <wp:inline>
            <wp:extent cx="5334000" cy="2611995"/>
            <wp:effectExtent b="0" l="0" r="0" t="0"/>
            <wp:docPr descr="The serocalculator Shiny app." title="" id="126" name="Picture"/>
            <a:graphic>
              <a:graphicData uri="http://schemas.openxmlformats.org/drawingml/2006/picture">
                <pic:pic>
                  <pic:nvPicPr>
                    <pic:cNvPr descr="../man/figures/shiny-serocalculator.png" id="127" name="Picture"/>
                    <pic:cNvPicPr>
                      <a:picLocks noChangeArrowheads="1" noChangeAspect="1"/>
                    </pic:cNvPicPr>
                  </pic:nvPicPr>
                  <pic:blipFill>
                    <a:blip r:embed="rId125"/>
                    <a:stretch>
                      <a:fillRect/>
                    </a:stretch>
                  </pic:blipFill>
                  <pic:spPr bwMode="auto">
                    <a:xfrm>
                      <a:off x="0" y="0"/>
                      <a:ext cx="5334000" cy="2611995"/>
                    </a:xfrm>
                    <a:prstGeom prst="rect">
                      <a:avLst/>
                    </a:prstGeom>
                    <a:noFill/>
                    <a:ln w="9525">
                      <a:noFill/>
                      <a:headEnd/>
                      <a:tailEnd/>
                    </a:ln>
                  </pic:spPr>
                </pic:pic>
              </a:graphicData>
            </a:graphic>
          </wp:inline>
        </w:drawing>
      </w:r>
    </w:p>
    <w:p>
      <w:pPr>
        <w:pStyle w:val="ImageCaption"/>
      </w:pPr>
      <w:r>
        <w:t xml:space="preserve">The serocalculator Shiny app.</w:t>
      </w:r>
    </w:p>
    <w:bookmarkEnd w:id="128"/>
    <w:bookmarkEnd w:id="129"/>
    <w:bookmarkStart w:id="135" w:name="X950effd5ffba89669b8964fc48817b69e54f5c8"/>
    <w:p>
      <w:pPr>
        <w:pStyle w:val="Heading1"/>
      </w:pPr>
      <w:r>
        <w:t xml:space="preserve">8. Validation: recovering known incidence rates</w:t>
      </w:r>
    </w:p>
    <w:bookmarkStart w:id="130" w:name="simulating-clusters-with-known-incidence"/>
    <w:p>
      <w:pPr>
        <w:pStyle w:val="Heading2"/>
      </w:pPr>
      <w:r>
        <w:t xml:space="preserve">8.1 Simulating clusters with known incidence</w:t>
      </w:r>
    </w:p>
    <w:p>
      <w:pPr>
        <w:pStyle w:val="FirstParagraph"/>
      </w:pPr>
      <w:r>
        <w:t xml:space="preserve">We can check the method by</w:t>
      </w:r>
      <w:r>
        <w:t xml:space="preserve"> </w:t>
      </w:r>
      <w:r>
        <w:rPr>
          <w:b/>
          <w:bCs/>
        </w:rPr>
        <w:t xml:space="preserve">simulating</w:t>
      </w:r>
      <w:r>
        <w:t xml:space="preserve"> </w:t>
      </w:r>
      <w:r>
        <w:t xml:space="preserve">cross-sectional serosurveys with</w:t>
      </w:r>
      <w:r>
        <w:t xml:space="preserve"> </w:t>
      </w:r>
      <w:r>
        <w:rPr>
          <w:b/>
          <w:bCs/>
        </w:rPr>
        <w:t xml:space="preserve">known</w:t>
      </w:r>
      <w:r>
        <w:t xml:space="preserve"> </w:t>
      </w:r>
      <w:r>
        <w:t xml:space="preserve">incidence rates and seeing whether the estimates recover them.</w:t>
      </w:r>
      <w:r>
        <w:t xml:space="preserve"> </w:t>
      </w:r>
      <w:r>
        <w:rPr>
          <w:rStyle w:val="VerbatimChar"/>
        </w:rPr>
        <w:t xml:space="preserve">sim_pop_data_multi()</w:t>
      </w:r>
      <w:r>
        <w:t xml:space="preserve"> </w:t>
      </w:r>
      <w:r>
        <w:t xml:space="preserve">simulates several clusters, each at a specified true</w:t>
      </w:r>
      <w:r>
        <w:t xml:space="preserve"> </w:t>
      </w:r>
      <w:r>
        <w:t xml:space="preserve">rate</w:t>
      </w:r>
      <w:r>
        <w:t xml:space="preserve"> </w:t>
      </w:r>
      <m:oMath>
        <m:r>
          <m:t>λ</m:t>
        </m:r>
      </m:oMath>
      <w:r>
        <w:t xml:space="preserve">:</w:t>
      </w:r>
    </w:p>
    <w:p>
      <w:pPr>
        <w:pStyle w:val="SourceCode"/>
      </w:pPr>
      <w:r>
        <w:rPr>
          <w:rStyle w:val="FunctionTok"/>
        </w:rPr>
        <w:t xml:space="preserve">library</w:t>
      </w:r>
      <w:r>
        <w:rPr>
          <w:rStyle w:val="NormalTok"/>
        </w:rPr>
        <w:t xml:space="preserve">(serocalculator)</w:t>
      </w:r>
      <w:r>
        <w:br/>
      </w:r>
      <w:r>
        <w:br/>
      </w:r>
      <w:r>
        <w:rPr>
          <w:rStyle w:val="NormalTok"/>
        </w:rPr>
        <w:t xml:space="preserve">antibodies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"HlyE_IgA"</w:t>
      </w:r>
      <w:r>
        <w:rPr>
          <w:rStyle w:val="NormalTok"/>
        </w:rPr>
        <w:t xml:space="preserve">, </w:t>
      </w:r>
      <w:r>
        <w:rPr>
          <w:rStyle w:val="StringTok"/>
        </w:rPr>
        <w:t xml:space="preserve">"HlyE_IgG"</w:t>
      </w:r>
      <w:r>
        <w:rPr>
          <w:rStyle w:val="NormalTok"/>
        </w:rPr>
        <w:t xml:space="preserve">)</w:t>
      </w:r>
      <w:r>
        <w:br/>
      </w:r>
      <w:r>
        <w:br/>
      </w:r>
      <w:r>
        <w:rPr>
          <w:rStyle w:val="CommentTok"/>
        </w:rPr>
        <w:t xml:space="preserve"># Noise settings follow serocalculator's `simulate_xsectionalData` vignette,</w:t>
      </w:r>
      <w:r>
        <w:br/>
      </w:r>
      <w:r>
        <w:rPr>
          <w:rStyle w:val="CommentTok"/>
        </w:rPr>
        <w:t xml:space="preserve"># where the estimation noise is kept consistent with the simulated noise.</w:t>
      </w:r>
      <w:r>
        <w:br/>
      </w:r>
      <w:r>
        <w:rPr>
          <w:rStyle w:val="CommentTok"/>
        </w:rPr>
        <w:t xml:space="preserve"># Assay-noise parameters for estimation:</w:t>
      </w:r>
      <w:r>
        <w:br/>
      </w:r>
      <w:r>
        <w:rPr>
          <w:rStyle w:val="NormalTok"/>
        </w:rPr>
        <w:t xml:space="preserve">noise_params </w:t>
      </w:r>
      <w:r>
        <w:rPr>
          <w:rStyle w:val="OtherTok"/>
        </w:rPr>
        <w:t xml:space="preserve">&lt;-</w:t>
      </w:r>
      <w:r>
        <w:rPr>
          <w:rStyle w:val="NormalTok"/>
        </w:rPr>
        <w:t xml:space="preserve"> tibble</w:t>
      </w:r>
      <w:r>
        <w:rPr>
          <w:rStyle w:val="SpecialCharTok"/>
        </w:rPr>
        <w:t xml:space="preserve">::</w:t>
      </w:r>
      <w:r>
        <w:rPr>
          <w:rStyle w:val="FunctionTok"/>
        </w:rPr>
        <w:t xml:space="preserve">tibble</w:t>
      </w:r>
      <w:r>
        <w:rPr>
          <w:rStyle w:val="NormalTok"/>
        </w:rPr>
        <w:t xml:space="preserve">(</w:t>
      </w:r>
      <w:r>
        <w:br/>
      </w:r>
      <w:r>
        <w:rPr>
          <w:rStyle w:val="NormalTok"/>
        </w:rPr>
        <w:t xml:space="preserve">  </w:t>
      </w:r>
      <w:r>
        <w:rPr>
          <w:rStyle w:val="AttributeTok"/>
        </w:rPr>
        <w:t xml:space="preserve">antigen_iso =</w:t>
      </w:r>
      <w:r>
        <w:rPr>
          <w:rStyle w:val="NormalTok"/>
        </w:rPr>
        <w:t xml:space="preserve"> antibodies,</w:t>
      </w:r>
      <w:r>
        <w:br/>
      </w:r>
      <w:r>
        <w:rPr>
          <w:rStyle w:val="NormalTok"/>
        </w:rPr>
        <w:t xml:space="preserve">  </w:t>
      </w:r>
      <w:r>
        <w:rPr>
          <w:rStyle w:val="AttributeTok"/>
        </w:rPr>
        <w:t xml:space="preserve">nu =</w:t>
      </w:r>
      <w:r>
        <w:rPr>
          <w:rStyle w:val="NormalTok"/>
        </w:rPr>
        <w:t xml:space="preserve"> </w:t>
      </w:r>
      <w:r>
        <w:rPr>
          <w:rStyle w:val="FloatTok"/>
        </w:rPr>
        <w:t xml:space="preserve">0.5</w:t>
      </w:r>
      <w:r>
        <w:rPr>
          <w:rStyle w:val="NormalTok"/>
        </w:rPr>
        <w:t xml:space="preserve">, </w:t>
      </w:r>
      <w:r>
        <w:rPr>
          <w:rStyle w:val="AttributeTok"/>
        </w:rPr>
        <w:t xml:space="preserve">eps =</w:t>
      </w:r>
      <w:r>
        <w:rPr>
          <w:rStyle w:val="NormalTok"/>
        </w:rPr>
        <w:t xml:space="preserve"> </w:t>
      </w:r>
      <w:r>
        <w:rPr>
          <w:rStyle w:val="DecValTok"/>
        </w:rPr>
        <w:t xml:space="preserve">0</w:t>
      </w:r>
      <w:r>
        <w:rPr>
          <w:rStyle w:val="NormalTok"/>
        </w:rPr>
        <w:t xml:space="preserve">, </w:t>
      </w:r>
      <w:r>
        <w:rPr>
          <w:rStyle w:val="AttributeTok"/>
        </w:rPr>
        <w:t xml:space="preserve">y.low =</w:t>
      </w:r>
      <w:r>
        <w:rPr>
          <w:rStyle w:val="NormalTok"/>
        </w:rPr>
        <w:t xml:space="preserve"> </w:t>
      </w:r>
      <w:r>
        <w:rPr>
          <w:rStyle w:val="DecValTok"/>
        </w:rPr>
        <w:t xml:space="preserve">1</w:t>
      </w:r>
      <w:r>
        <w:rPr>
          <w:rStyle w:val="NormalTok"/>
        </w:rPr>
        <w:t xml:space="preserve">, </w:t>
      </w:r>
      <w:r>
        <w:rPr>
          <w:rStyle w:val="AttributeTok"/>
        </w:rPr>
        <w:t xml:space="preserve">y.high =</w:t>
      </w:r>
      <w:r>
        <w:rPr>
          <w:rStyle w:val="NormalTok"/>
        </w:rPr>
        <w:t xml:space="preserve"> </w:t>
      </w:r>
      <w:r>
        <w:rPr>
          <w:rStyle w:val="FloatTok"/>
        </w:rPr>
        <w:t xml:space="preserve">5e6</w:t>
      </w:r>
      <w:r>
        <w:br/>
      </w:r>
      <w:r>
        <w:rPr>
          <w:rStyle w:val="NormalTok"/>
        </w:rPr>
        <w:t xml:space="preserve">)</w:t>
      </w:r>
      <w:r>
        <w:br/>
      </w:r>
      <w:r>
        <w:br/>
      </w:r>
      <w:r>
        <w:rPr>
          <w:rStyle w:val="CommentTok"/>
        </w:rPr>
        <w:t xml:space="preserve"># Biologic-noise limits for the simulation (vignette `dlims`):</w:t>
      </w:r>
      <w:r>
        <w:br/>
      </w:r>
      <w:r>
        <w:rPr>
          <w:rStyle w:val="NormalTok"/>
        </w:rPr>
        <w:t xml:space="preserve">noise_limits </w:t>
      </w:r>
      <w:r>
        <w:rPr>
          <w:rStyle w:val="OtherTok"/>
        </w:rPr>
        <w:t xml:space="preserve">&lt;-</w:t>
      </w:r>
      <w:r>
        <w:rPr>
          <w:rStyle w:val="NormalTok"/>
        </w:rPr>
        <w:t xml:space="preserve"> </w:t>
      </w:r>
      <w:r>
        <w:rPr>
          <w:rStyle w:val="FunctionTok"/>
        </w:rPr>
        <w:t xml:space="preserve">rbind</w:t>
      </w:r>
      <w:r>
        <w:rPr>
          <w:rStyle w:val="NormalTok"/>
        </w:rPr>
        <w:t xml:space="preserve">(</w:t>
      </w:r>
      <w:r>
        <w:br/>
      </w:r>
      <w:r>
        <w:rPr>
          <w:rStyle w:val="NormalTok"/>
        </w:rPr>
        <w:t xml:space="preserve">  </w:t>
      </w:r>
      <w:r>
        <w:rPr>
          <w:rStyle w:val="AttributeTok"/>
        </w:rPr>
        <w:t xml:space="preserve">HlyE_IgA =</w:t>
      </w:r>
      <w:r>
        <w:rPr>
          <w:rStyle w:val="NormalTok"/>
        </w:rPr>
        <w:t xml:space="preserve"> </w:t>
      </w:r>
      <w:r>
        <w:rPr>
          <w:rStyle w:val="FunctionTok"/>
        </w:rPr>
        <w:t xml:space="preserve">c</w:t>
      </w:r>
      <w:r>
        <w:rPr>
          <w:rStyle w:val="NormalTok"/>
        </w:rPr>
        <w:t xml:space="preserve">(</w:t>
      </w:r>
      <w:r>
        <w:rPr>
          <w:rStyle w:val="AttributeTok"/>
        </w:rPr>
        <w:t xml:space="preserve">min =</w:t>
      </w:r>
      <w:r>
        <w:rPr>
          <w:rStyle w:val="NormalTok"/>
        </w:rPr>
        <w:t xml:space="preserve"> </w:t>
      </w:r>
      <w:r>
        <w:rPr>
          <w:rStyle w:val="DecValTok"/>
        </w:rPr>
        <w:t xml:space="preserve">0</w:t>
      </w:r>
      <w:r>
        <w:rPr>
          <w:rStyle w:val="NormalTok"/>
        </w:rPr>
        <w:t xml:space="preserve">, </w:t>
      </w:r>
      <w:r>
        <w:rPr>
          <w:rStyle w:val="AttributeTok"/>
        </w:rPr>
        <w:t xml:space="preserve">max =</w:t>
      </w:r>
      <w:r>
        <w:rPr>
          <w:rStyle w:val="NormalTok"/>
        </w:rPr>
        <w:t xml:space="preserve"> </w:t>
      </w:r>
      <w:r>
        <w:rPr>
          <w:rStyle w:val="FloatTok"/>
        </w:rPr>
        <w:t xml:space="preserve">0.5</w:t>
      </w:r>
      <w:r>
        <w:rPr>
          <w:rStyle w:val="NormalTok"/>
        </w:rPr>
        <w:t xml:space="preserve">),</w:t>
      </w:r>
      <w:r>
        <w:br/>
      </w:r>
      <w:r>
        <w:rPr>
          <w:rStyle w:val="NormalTok"/>
        </w:rPr>
        <w:t xml:space="preserve">  </w:t>
      </w:r>
      <w:r>
        <w:rPr>
          <w:rStyle w:val="AttributeTok"/>
        </w:rPr>
        <w:t xml:space="preserve">HlyE_IgG =</w:t>
      </w:r>
      <w:r>
        <w:rPr>
          <w:rStyle w:val="NormalTok"/>
        </w:rPr>
        <w:t xml:space="preserve"> </w:t>
      </w:r>
      <w:r>
        <w:rPr>
          <w:rStyle w:val="FunctionTok"/>
        </w:rPr>
        <w:t xml:space="preserve">c</w:t>
      </w:r>
      <w:r>
        <w:rPr>
          <w:rStyle w:val="NormalTok"/>
        </w:rPr>
        <w:t xml:space="preserve">(</w:t>
      </w:r>
      <w:r>
        <w:rPr>
          <w:rStyle w:val="AttributeTok"/>
        </w:rPr>
        <w:t xml:space="preserve">min =</w:t>
      </w:r>
      <w:r>
        <w:rPr>
          <w:rStyle w:val="NormalTok"/>
        </w:rPr>
        <w:t xml:space="preserve"> </w:t>
      </w:r>
      <w:r>
        <w:rPr>
          <w:rStyle w:val="DecValTok"/>
        </w:rPr>
        <w:t xml:space="preserve">0</w:t>
      </w:r>
      <w:r>
        <w:rPr>
          <w:rStyle w:val="NormalTok"/>
        </w:rPr>
        <w:t xml:space="preserve">, </w:t>
      </w:r>
      <w:r>
        <w:rPr>
          <w:rStyle w:val="AttributeTok"/>
        </w:rPr>
        <w:t xml:space="preserve">max =</w:t>
      </w:r>
      <w:r>
        <w:rPr>
          <w:rStyle w:val="NormalTok"/>
        </w:rPr>
        <w:t xml:space="preserve"> </w:t>
      </w:r>
      <w:r>
        <w:rPr>
          <w:rStyle w:val="FloatTok"/>
        </w:rPr>
        <w:t xml:space="preserve">0.5</w:t>
      </w:r>
      <w:r>
        <w:rPr>
          <w:rStyle w:val="NormalTok"/>
        </w:rPr>
        <w:t xml:space="preserve">)</w:t>
      </w:r>
      <w:r>
        <w:br/>
      </w:r>
      <w:r>
        <w:rPr>
          <w:rStyle w:val="NormalTok"/>
        </w:rPr>
        <w:t xml:space="preserve">)</w:t>
      </w:r>
      <w:r>
        <w:br/>
      </w:r>
      <w:r>
        <w:br/>
      </w:r>
      <w:r>
        <w:rPr>
          <w:rStyle w:val="CommentTok"/>
        </w:rPr>
        <w:t xml:space="preserve"># Simulate clusters at a range of true incidence rates</w:t>
      </w:r>
      <w:r>
        <w:br/>
      </w:r>
      <w:r>
        <w:rPr>
          <w:rStyle w:val="NormalTok"/>
        </w:rPr>
        <w:t xml:space="preserve">sim_df </w:t>
      </w:r>
      <w:r>
        <w:rPr>
          <w:rStyle w:val="OtherTok"/>
        </w:rPr>
        <w:t xml:space="preserve">&lt;-</w:t>
      </w:r>
      <w:r>
        <w:rPr>
          <w:rStyle w:val="NormalTok"/>
        </w:rPr>
        <w:t xml:space="preserve"> </w:t>
      </w:r>
      <w:r>
        <w:rPr>
          <w:rStyle w:val="FunctionTok"/>
        </w:rPr>
        <w:t xml:space="preserve">sim_pop_data_multi</w:t>
      </w:r>
      <w:r>
        <w:rPr>
          <w:rStyle w:val="NormalTok"/>
        </w:rPr>
        <w:t xml:space="preserve">(</w:t>
      </w:r>
      <w:r>
        <w:br/>
      </w:r>
      <w:r>
        <w:rPr>
          <w:rStyle w:val="NormalTok"/>
        </w:rPr>
        <w:t xml:space="preserve">  </w:t>
      </w:r>
      <w:r>
        <w:rPr>
          <w:rStyle w:val="AttributeTok"/>
        </w:rPr>
        <w:t xml:space="preserve">curve_params =</w:t>
      </w:r>
      <w:r>
        <w:rPr>
          <w:rStyle w:val="NormalTok"/>
        </w:rPr>
        <w:t xml:space="preserve"> typhoid_curves_nostrat_100,</w:t>
      </w:r>
      <w:r>
        <w:br/>
      </w:r>
      <w:r>
        <w:rPr>
          <w:rStyle w:val="NormalTok"/>
        </w:rPr>
        <w:t xml:space="preserve">  </w:t>
      </w:r>
      <w:r>
        <w:rPr>
          <w:rStyle w:val="AttributeTok"/>
        </w:rPr>
        <w:t xml:space="preserve">lambdas =</w:t>
      </w:r>
      <w:r>
        <w:rPr>
          <w:rStyle w:val="NormalTok"/>
        </w:rPr>
        <w:t xml:space="preserve"> </w:t>
      </w:r>
      <w:r>
        <w:rPr>
          <w:rStyle w:val="FunctionTok"/>
        </w:rPr>
        <w:t xml:space="preserve">c</w:t>
      </w:r>
      <w:r>
        <w:rPr>
          <w:rStyle w:val="NormalTok"/>
        </w:rPr>
        <w:t xml:space="preserve">(</w:t>
      </w:r>
      <w:r>
        <w:rPr>
          <w:rStyle w:val="FloatTok"/>
        </w:rPr>
        <w:t xml:space="preserve">0.05</w:t>
      </w:r>
      <w:r>
        <w:rPr>
          <w:rStyle w:val="NormalTok"/>
        </w:rPr>
        <w:t xml:space="preserve">, </w:t>
      </w:r>
      <w:r>
        <w:rPr>
          <w:rStyle w:val="FloatTok"/>
        </w:rPr>
        <w:t xml:space="preserve">0.1</w:t>
      </w:r>
      <w:r>
        <w:rPr>
          <w:rStyle w:val="NormalTok"/>
        </w:rPr>
        <w:t xml:space="preserve">, </w:t>
      </w:r>
      <w:r>
        <w:rPr>
          <w:rStyle w:val="FloatTok"/>
        </w:rPr>
        <w:t xml:space="preserve">0.2</w:t>
      </w:r>
      <w:r>
        <w:rPr>
          <w:rStyle w:val="NormalTok"/>
        </w:rPr>
        <w:t xml:space="preserve">, </w:t>
      </w:r>
      <w:r>
        <w:rPr>
          <w:rStyle w:val="FloatTok"/>
        </w:rPr>
        <w:t xml:space="preserve">0.3</w:t>
      </w:r>
      <w:r>
        <w:rPr>
          <w:rStyle w:val="NormalTok"/>
        </w:rPr>
        <w:t xml:space="preserve">), </w:t>
      </w:r>
      <w:r>
        <w:rPr>
          <w:rStyle w:val="CommentTok"/>
        </w:rPr>
        <w:t xml:space="preserve"># true incidence rates</w:t>
      </w:r>
      <w:r>
        <w:br/>
      </w:r>
      <w:r>
        <w:rPr>
          <w:rStyle w:val="NormalTok"/>
        </w:rPr>
        <w:t xml:space="preserve">  </w:t>
      </w:r>
      <w:r>
        <w:rPr>
          <w:rStyle w:val="AttributeTok"/>
        </w:rPr>
        <w:t xml:space="preserve">nclus =</w:t>
      </w:r>
      <w:r>
        <w:rPr>
          <w:rStyle w:val="NormalTok"/>
        </w:rPr>
        <w:t xml:space="preserve"> </w:t>
      </w:r>
      <w:r>
        <w:rPr>
          <w:rStyle w:val="DecValTok"/>
        </w:rPr>
        <w:t xml:space="preserve">3</w:t>
      </w:r>
      <w:r>
        <w:rPr>
          <w:rStyle w:val="NormalTok"/>
        </w:rPr>
        <w:t xml:space="preserve">, </w:t>
      </w:r>
      <w:r>
        <w:rPr>
          <w:rStyle w:val="CommentTok"/>
        </w:rPr>
        <w:t xml:space="preserve"># clusters per rate</w:t>
      </w:r>
      <w:r>
        <w:br/>
      </w:r>
      <w:r>
        <w:rPr>
          <w:rStyle w:val="NormalTok"/>
        </w:rPr>
        <w:t xml:space="preserve">  </w:t>
      </w:r>
      <w:r>
        <w:rPr>
          <w:rStyle w:val="AttributeTok"/>
        </w:rPr>
        <w:t xml:space="preserve">sample_sizes =</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AttributeTok"/>
        </w:rPr>
        <w:t xml:space="preserve">age_range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antigen_isos =</w:t>
      </w:r>
      <w:r>
        <w:rPr>
          <w:rStyle w:val="NormalTok"/>
        </w:rPr>
        <w:t xml:space="preserve"> antibodies,</w:t>
      </w:r>
      <w:r>
        <w:br/>
      </w:r>
      <w:r>
        <w:rPr>
          <w:rStyle w:val="NormalTok"/>
        </w:rPr>
        <w:t xml:space="preserve">  </w:t>
      </w:r>
      <w:r>
        <w:rPr>
          <w:rStyle w:val="AttributeTok"/>
        </w:rPr>
        <w:t xml:space="preserve">add_noise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noise_limits =</w:t>
      </w:r>
      <w:r>
        <w:rPr>
          <w:rStyle w:val="NormalTok"/>
        </w:rPr>
        <w:t xml:space="preserve"> noise_limits,</w:t>
      </w:r>
      <w:r>
        <w:br/>
      </w:r>
      <w:r>
        <w:rPr>
          <w:rStyle w:val="NormalTok"/>
        </w:rPr>
        <w:t xml:space="preserve">  </w:t>
      </w:r>
      <w:r>
        <w:rPr>
          <w:rStyle w:val="AttributeTok"/>
        </w:rPr>
        <w:t xml:space="preserve">format =</w:t>
      </w:r>
      <w:r>
        <w:rPr>
          <w:rStyle w:val="NormalTok"/>
        </w:rPr>
        <w:t xml:space="preserve"> </w:t>
      </w:r>
      <w:r>
        <w:rPr>
          <w:rStyle w:val="StringTok"/>
        </w:rPr>
        <w:t xml:space="preserve">"long"</w:t>
      </w:r>
      <w:r>
        <w:br/>
      </w:r>
      <w:r>
        <w:rPr>
          <w:rStyle w:val="NormalTok"/>
        </w:rPr>
        <w:t xml:space="preserve">)</w:t>
      </w:r>
      <w:r>
        <w:br/>
      </w:r>
      <w:r>
        <w:br/>
      </w:r>
      <w:r>
        <w:rPr>
          <w:rStyle w:val="CommentTok"/>
        </w:rPr>
        <w:t xml:space="preserve"># Estimate incidence separately in each simulated cluster</w:t>
      </w:r>
      <w:r>
        <w:br/>
      </w:r>
      <w:r>
        <w:rPr>
          <w:rStyle w:val="NormalTok"/>
        </w:rPr>
        <w:t xml:space="preserve">ests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sim_df,</w:t>
      </w:r>
      <w:r>
        <w:br/>
      </w:r>
      <w:r>
        <w:rPr>
          <w:rStyle w:val="NormalTok"/>
        </w:rPr>
        <w:t xml:space="preserve">  </w:t>
      </w:r>
      <w:r>
        <w:rPr>
          <w:rStyle w:val="AttributeTok"/>
        </w:rPr>
        <w:t xml:space="preserve">sr_params =</w:t>
      </w:r>
      <w:r>
        <w:rPr>
          <w:rStyle w:val="NormalTok"/>
        </w:rPr>
        <w:t xml:space="preserve"> typhoid_curves_nostrat_100,</w:t>
      </w:r>
      <w:r>
        <w:br/>
      </w:r>
      <w:r>
        <w:rPr>
          <w:rStyle w:val="NormalTok"/>
        </w:rPr>
        <w:t xml:space="preserve">  </w:t>
      </w:r>
      <w:r>
        <w:rPr>
          <w:rStyle w:val="AttributeTok"/>
        </w:rPr>
        <w:t xml:space="preserve">noise_params =</w:t>
      </w:r>
      <w:r>
        <w:rPr>
          <w:rStyle w:val="NormalTok"/>
        </w:rPr>
        <w:t xml:space="preserve"> noise_params,</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"lambda.sim"</w:t>
      </w:r>
      <w:r>
        <w:rPr>
          <w:rStyle w:val="NormalTok"/>
        </w:rPr>
        <w:t xml:space="preserve">, </w:t>
      </w:r>
      <w:r>
        <w:rPr>
          <w:rStyle w:val="StringTok"/>
        </w:rPr>
        <w:t xml:space="preserve">"cluster"</w:t>
      </w:r>
      <w:r>
        <w:rPr>
          <w:rStyle w:val="NormalTok"/>
        </w:rPr>
        <w:t xml:space="preserve">),</w:t>
      </w:r>
      <w:r>
        <w:br/>
      </w:r>
      <w:r>
        <w:rPr>
          <w:rStyle w:val="NormalTok"/>
        </w:rPr>
        <w:t xml:space="preserve">  </w:t>
      </w:r>
      <w:r>
        <w:rPr>
          <w:rStyle w:val="AttributeTok"/>
        </w:rPr>
        <w:t xml:space="preserve">antigen_isos =</w:t>
      </w:r>
      <w:r>
        <w:rPr>
          <w:rStyle w:val="NormalTok"/>
        </w:rPr>
        <w:t xml:space="preserve"> antibodies</w:t>
      </w:r>
      <w:r>
        <w:br/>
      </w:r>
      <w:r>
        <w:rPr>
          <w:rStyle w:val="NormalTok"/>
        </w:rPr>
        <w:t xml:space="preserve">)</w:t>
      </w:r>
      <w:r>
        <w:br/>
      </w:r>
      <w:r>
        <w:rPr>
          <w:rStyle w:val="FunctionTok"/>
        </w:rPr>
        <w:t xml:space="preserve">summary</w:t>
      </w:r>
      <w:r>
        <w:rPr>
          <w:rStyle w:val="NormalTok"/>
        </w:rPr>
        <w:t xml:space="preserve">(ests)</w:t>
      </w:r>
    </w:p>
    <w:bookmarkEnd w:id="130"/>
    <w:bookmarkStart w:id="134" w:name="estimates-recover-the-simulated-rates"/>
    <w:p>
      <w:pPr>
        <w:pStyle w:val="Heading2"/>
      </w:pPr>
      <w:r>
        <w:t xml:space="preserve">8.2 Estimates recover the simulated rates</w:t>
      </w:r>
    </w:p>
    <w:p>
      <w:pPr>
        <w:pStyle w:val="CaptionedFigure"/>
      </w:pPr>
      <w:r>
        <w:drawing>
          <wp:inline>
            <wp:extent cx="5334000" cy="3810000"/>
            <wp:effectExtent b="0" l="0" r="0" t="0"/>
            <wp:docPr descr="Estimated incidence rates (points, with 95% CIs) for the simulated clusters track the true simulated rates (dashed identity line)." title="" id="132" name="Picture"/>
            <a:graphic>
              <a:graphicData uri="http://schemas.openxmlformats.org/drawingml/2006/picture">
                <pic:pic>
                  <pic:nvPicPr>
                    <pic:cNvPr descr="../man/figures/sim-recovery.png" id="133" name="Picture"/>
                    <pic:cNvPicPr>
                      <a:picLocks noChangeArrowheads="1" noChangeAspect="1"/>
                    </pic:cNvPicPr>
                  </pic:nvPicPr>
                  <pic:blipFill>
                    <a:blip r:embed="rId131"/>
                    <a:stretch>
                      <a:fillRect/>
                    </a:stretch>
                  </pic:blipFill>
                  <pic:spPr bwMode="auto">
                    <a:xfrm>
                      <a:off x="0" y="0"/>
                      <a:ext cx="5334000" cy="3810000"/>
                    </a:xfrm>
                    <a:prstGeom prst="rect">
                      <a:avLst/>
                    </a:prstGeom>
                    <a:noFill/>
                    <a:ln w="9525">
                      <a:noFill/>
                      <a:headEnd/>
                      <a:tailEnd/>
                    </a:ln>
                  </pic:spPr>
                </pic:pic>
              </a:graphicData>
            </a:graphic>
          </wp:inline>
        </w:drawing>
      </w:r>
    </w:p>
    <w:p>
      <w:pPr>
        <w:pStyle w:val="ImageCaption"/>
      </w:pPr>
      <w:r>
        <w:t xml:space="preserve">Estimated incidence rates (points, with 95% CIs) for the simulated clusters track the true simulated rates (dashed identity line).</w:t>
      </w:r>
    </w:p>
    <w:p>
      <w:pPr>
        <w:pStyle w:val="BodyText"/>
      </w:pPr>
      <w:r>
        <w:t xml:space="preserve">Each point is one simulated cluster: the estimated incidence rate (with its</w:t>
      </w:r>
      <w:r>
        <w:t xml:space="preserve"> </w:t>
      </w:r>
      <w:r>
        <w:t xml:space="preserve">95% confidence interval) against the true rate used to generate the data.</w:t>
      </w:r>
      <w:r>
        <w:t xml:space="preserve"> </w:t>
      </w:r>
      <w:r>
        <w:t xml:space="preserve">The estimates scatter around the identity line, and the intervals are wider</w:t>
      </w:r>
      <w:r>
        <w:t xml:space="preserve"> </w:t>
      </w:r>
      <w:r>
        <w:t xml:space="preserve">at higher incidence. Abridged from the serocalculator</w:t>
      </w:r>
      <w:r>
        <w:t xml:space="preserve"> </w:t>
      </w:r>
      <w:r>
        <w:rPr>
          <w:rStyle w:val="VerbatimChar"/>
        </w:rPr>
        <w:t xml:space="preserve">simulate_xsectionalData</w:t>
      </w:r>
      <w:r>
        <w:t xml:space="preserve"> </w:t>
      </w:r>
      <w:r>
        <w:t xml:space="preserve">vignette.</w:t>
      </w:r>
    </w:p>
    <w:bookmarkEnd w:id="134"/>
    <w:bookmarkEnd w:id="135"/>
    <w:bookmarkStart w:id="140" w:name="ongoing-and-future-work"/>
    <w:p>
      <w:pPr>
        <w:pStyle w:val="Heading1"/>
      </w:pPr>
      <w:r>
        <w:t xml:space="preserve">9. Ongoing and future work</w:t>
      </w:r>
    </w:p>
    <w:bookmarkStart w:id="137" w:name="in-progress-work"/>
    <w:p>
      <w:pPr>
        <w:pStyle w:val="Heading2"/>
      </w:pPr>
      <w:r>
        <w:t xml:space="preserve">9.1 In-progress work</w:t>
      </w:r>
    </w:p>
    <w:p>
      <w:pPr>
        <w:numPr>
          <w:ilvl w:val="0"/>
          <w:numId w:val="1042"/>
        </w:numPr>
      </w:pPr>
      <w:r>
        <w:t xml:space="preserve">Extending and improving existing Shiny apps for these methods</w:t>
      </w:r>
      <w:r>
        <w:t xml:space="preserve"> </w:t>
      </w:r>
      <w:r>
        <w:t xml:space="preserve">(e.g., the</w:t>
      </w:r>
      <w:r>
        <w:t xml:space="preserve"> </w:t>
      </w:r>
      <w:hyperlink r:id="rId124">
        <w:r>
          <w:rPr>
            <w:rStyle w:val="Hyperlink"/>
          </w:rPr>
          <w:t xml:space="preserve">serocalculator Shiny app</w:t>
        </w:r>
      </w:hyperlink>
      <w:r>
        <w:t xml:space="preserve">,</w:t>
      </w:r>
      <w:r>
        <w:t xml:space="preserve"> </w:t>
      </w:r>
      <w:hyperlink r:id="rId136">
        <w:r>
          <w:rPr>
            <w:rStyle w:val="Hyperlink"/>
          </w:rPr>
          <w:t xml:space="preserve">source</w:t>
        </w:r>
      </w:hyperlink>
      <w:r>
        <w:t xml:space="preserve">)</w:t>
      </w:r>
    </w:p>
    <w:p>
      <w:pPr>
        <w:numPr>
          <w:ilvl w:val="0"/>
          <w:numId w:val="1042"/>
        </w:numPr>
      </w:pPr>
      <w:r>
        <w:t xml:space="preserve">Multivariate modeling of biomarkers (relaxing conditional independence)</w:t>
      </w:r>
    </w:p>
    <w:p>
      <w:pPr>
        <w:numPr>
          <w:ilvl w:val="0"/>
          <w:numId w:val="1042"/>
        </w:numPr>
      </w:pPr>
      <w:r>
        <w:t xml:space="preserve">A graphical (Shiny) app for</w:t>
      </w:r>
      <w:r>
        <w:t xml:space="preserve"> </w:t>
      </w:r>
      <w:r>
        <w:rPr>
          <w:rStyle w:val="VerbatimChar"/>
        </w:rPr>
        <w:t xml:space="preserve">serodynamics</w:t>
      </w:r>
    </w:p>
    <w:p>
      <w:pPr>
        <w:numPr>
          <w:ilvl w:val="0"/>
          <w:numId w:val="1042"/>
        </w:numPr>
      </w:pPr>
      <w:r>
        <w:t xml:space="preserve">Modeling time-varying incidence rates</w:t>
      </w:r>
    </w:p>
    <w:p>
      <w:pPr>
        <w:numPr>
          <w:ilvl w:val="0"/>
          <w:numId w:val="1042"/>
        </w:numPr>
      </w:pPr>
      <w:r>
        <w:t xml:space="preserve">Accounting for re-exposure</w:t>
      </w:r>
    </w:p>
    <w:p>
      <w:pPr>
        <w:numPr>
          <w:ilvl w:val="0"/>
          <w:numId w:val="1042"/>
        </w:numPr>
      </w:pPr>
      <w:r>
        <w:t xml:space="preserve">Accounting for latent immunocompromised subpopulations</w:t>
      </w:r>
    </w:p>
    <w:p>
      <w:pPr>
        <w:numPr>
          <w:ilvl w:val="0"/>
          <w:numId w:val="1042"/>
        </w:numPr>
      </w:pPr>
      <w:r>
        <w:t xml:space="preserve">Calibrating to population demographics</w:t>
      </w:r>
    </w:p>
    <w:bookmarkEnd w:id="137"/>
    <w:bookmarkStart w:id="139" w:name="sec-multivariate"/>
    <w:p>
      <w:pPr>
        <w:pStyle w:val="Heading2"/>
      </w:pPr>
      <w:r>
        <w:t xml:space="preserve">9.2 Multiple biomarkers: beyond conditional independence</w:t>
      </w:r>
    </w:p>
    <w:p>
      <w:pPr>
        <w:pStyle w:val="FirstParagraph"/>
      </w:pPr>
      <w:r>
        <w:t xml:space="preserve">With several biomarkers (e.g. HlyE IgA and IgG), the current method treats</w:t>
      </w:r>
      <w:r>
        <w:t xml:space="preserve"> </w:t>
      </w:r>
      <w:r>
        <w:t xml:space="preserve">them as</w:t>
      </w:r>
      <w:r>
        <w:t xml:space="preserve"> </w:t>
      </w:r>
      <w:r>
        <w:rPr>
          <w:b/>
          <w:bCs/>
        </w:rPr>
        <w:t xml:space="preserve">conditionally independent given the time since infection</w:t>
      </w:r>
      <w:r>
        <w:t xml:space="preserve">, so the</w:t>
      </w:r>
      <w:r>
        <w:t xml:space="preserve"> </w:t>
      </w:r>
      <w:r>
        <w:t xml:space="preserve">joint likelihood factors into a product of per-biomarker terms:</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rPr>
              <m:sty m:val="p"/>
            </m:rPr>
            <m:t>=</m:t>
          </m:r>
          <m:r>
            <m:rPr>
              <m:sty m:val="p"/>
            </m:rPr>
            <m:t>p</m:t>
          </m:r>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oMath>
      </m:oMathPara>
    </w:p>
    <w:p>
      <w:pPr>
        <w:pStyle w:val="FirstParagraph"/>
      </w:pPr>
      <w:r>
        <w:t xml:space="preserve">This is the same conditional-independence simplification that naive Bayes</w:t>
      </w:r>
      <w:r>
        <w:t xml:space="preserve"> </w:t>
      </w:r>
      <w:r>
        <w:t xml:space="preserve">makes (features independent given the class): convenient, but it ignores any</w:t>
      </w:r>
      <w:r>
        <w:t xml:space="preserve"> </w:t>
      </w:r>
      <w:r>
        <w:t xml:space="preserve">within-person correlation between biomarkers.</w:t>
      </w:r>
    </w:p>
    <w:p>
      <w:pPr>
        <w:pStyle w:val="BodyText"/>
      </w:pPr>
      <w:r>
        <w:t xml:space="preserve">. . .</w:t>
      </w:r>
    </w:p>
    <w:p>
      <w:pPr>
        <w:pStyle w:val="BodyText"/>
      </w:pPr>
      <w:r>
        <w:t xml:space="preserve">Kwan Ho Lee (UCD-SERG) is relaxing this to allow</w:t>
      </w:r>
      <w:r>
        <w:t xml:space="preserve"> </w:t>
      </w:r>
      <w:r>
        <w:rPr>
          <w:b/>
          <w:bCs/>
        </w:rPr>
        <w:t xml:space="preserve">covariance</w:t>
      </w:r>
      <w:r>
        <w:t xml:space="preserve"> </w:t>
      </w:r>
      <w:r>
        <w:t xml:space="preserve">among</w:t>
      </w:r>
      <w:r>
        <w:t xml:space="preserve"> </w:t>
      </w:r>
      <w:r>
        <w:t xml:space="preserve">biomarkers — a multivariate seroresponse model with a Kronecker-structured</w:t>
      </w:r>
      <w:r>
        <w:t xml:space="preserve"> </w:t>
      </w:r>
      <w:r>
        <w:t xml:space="preserve">covariance, fit in Stan</w:t>
      </w:r>
      <w:r>
        <w:t xml:space="preserve"> </w:t>
      </w:r>
      <w:r>
        <w:t xml:space="preserve">(</w:t>
      </w:r>
      <w:hyperlink r:id="rId138">
        <w:r>
          <w:rPr>
            <w:rStyle w:val="Hyperlink"/>
          </w:rPr>
          <w:t xml:space="preserve">UCD-SERG/shigella#13</w:t>
        </w:r>
      </w:hyperlink>
      <w:r>
        <w:t xml:space="preserve">).</w:t>
      </w:r>
    </w:p>
    <w:bookmarkEnd w:id="139"/>
    <w:bookmarkEnd w:id="140"/>
    <w:bookmarkStart w:id="153" w:name="references"/>
    <w:p>
      <w:pPr>
        <w:pStyle w:val="Heading1"/>
      </w:pPr>
      <w:r>
        <w:t xml:space="preserve">References</w:t>
      </w:r>
    </w:p>
    <w:bookmarkStart w:id="152" w:name="refs"/>
    <w:bookmarkStart w:id="142"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141">
        <w:r>
          <w:rPr>
            <w:rStyle w:val="Hyperlink"/>
          </w:rPr>
          <w:t xml:space="preserve">https://doi.org/10.1016/S2666-5247(22)00114-8</w:t>
        </w:r>
      </w:hyperlink>
      <w:r>
        <w:t xml:space="preserve">.</w:t>
      </w:r>
    </w:p>
    <w:bookmarkEnd w:id="142"/>
    <w:bookmarkStart w:id="144" w:name="ref-HAY2024100806"/>
    <w:p>
      <w:pPr>
        <w:pStyle w:val="Bibliography"/>
      </w:pPr>
      <w:r>
        <w:t xml:space="preserve">Hay, James A., Isobel Routledge, and Saki Takahashi. 2024.</w:t>
      </w:r>
      <w:r>
        <w:t xml:space="preserve"> </w:t>
      </w:r>
      <w:r>
        <w:t xml:space="preserve">“Serodynamics: A Primer and Synthetic Review of Methods for Epidemiological Inference Using Serological Data.”</w:t>
      </w:r>
      <w:r>
        <w:t xml:space="preserve"> </w:t>
      </w:r>
      <w:r>
        <w:rPr>
          <w:i/>
          <w:iCs/>
        </w:rPr>
        <w:t xml:space="preserve">Epidemics</w:t>
      </w:r>
      <w:r>
        <w:t xml:space="preserve"> </w:t>
      </w:r>
      <w:r>
        <w:t xml:space="preserve">49: 100806.</w:t>
      </w:r>
      <w:r>
        <w:t xml:space="preserve"> </w:t>
      </w:r>
      <w:hyperlink r:id="rId143">
        <w:r>
          <w:rPr>
            <w:rStyle w:val="Hyperlink"/>
          </w:rPr>
          <w:t xml:space="preserve">https://doi.org/10.1016/j.epidem.2024.100806</w:t>
        </w:r>
      </w:hyperlink>
      <w:r>
        <w:t xml:space="preserve">.</w:t>
      </w:r>
    </w:p>
    <w:bookmarkEnd w:id="144"/>
    <w:bookmarkStart w:id="146" w:name="ref-Noordzij2010diseasemeasures"/>
    <w:p>
      <w:pPr>
        <w:pStyle w:val="Bibliography"/>
      </w:pPr>
      <w:r>
        <w:t xml:space="preserve">Noordzij, Marlies, Friedo W. Dekker, Carmine Zoccali, and Kitty J. Jager. 2010.</w:t>
      </w:r>
      <w:r>
        <w:t xml:space="preserve"> </w:t>
      </w:r>
      <w:r>
        <w:t xml:space="preserve">“</w:t>
      </w:r>
      <w:r>
        <w:t xml:space="preserve">Measures of Disease Frequency: Prevalence and Incidence</w:t>
      </w:r>
      <w:r>
        <w:t xml:space="preserve">.”</w:t>
      </w:r>
      <w:r>
        <w:t xml:space="preserve"> </w:t>
      </w:r>
      <w:r>
        <w:rPr>
          <w:i/>
          <w:iCs/>
        </w:rPr>
        <w:t xml:space="preserve">Nephron Clinical Practice</w:t>
      </w:r>
      <w:r>
        <w:t xml:space="preserve"> </w:t>
      </w:r>
      <w:r>
        <w:t xml:space="preserve">115 (1): c17–20.</w:t>
      </w:r>
      <w:r>
        <w:t xml:space="preserve"> </w:t>
      </w:r>
      <w:hyperlink r:id="rId145">
        <w:r>
          <w:rPr>
            <w:rStyle w:val="Hyperlink"/>
          </w:rPr>
          <w:t xml:space="preserve">https://doi.org/10.1159/000286345</w:t>
        </w:r>
      </w:hyperlink>
      <w:r>
        <w:t xml:space="preserve">.</w:t>
      </w:r>
    </w:p>
    <w:bookmarkEnd w:id="146"/>
    <w:bookmarkStart w:id="148"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147">
        <w:r>
          <w:rPr>
            <w:rStyle w:val="Hyperlink"/>
          </w:rPr>
          <w:t xml:space="preserve">https://doi.org/10.1002/sim.8578</w:t>
        </w:r>
      </w:hyperlink>
      <w:r>
        <w:t xml:space="preserve">.</w:t>
      </w:r>
    </w:p>
    <w:bookmarkEnd w:id="148"/>
    <w:bookmarkStart w:id="150"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149">
        <w:r>
          <w:rPr>
            <w:rStyle w:val="Hyperlink"/>
          </w:rPr>
          <w:t xml:space="preserve">https://doi.org/10.1016/j.epidem.2016.04.001</w:t>
        </w:r>
      </w:hyperlink>
      <w:r>
        <w:t xml:space="preserve">.</w:t>
      </w:r>
    </w:p>
    <w:bookmarkEnd w:id="150"/>
    <w:bookmarkStart w:id="151" w:name="ref-volterra1928variations"/>
    <w:p>
      <w:pPr>
        <w:pStyle w:val="Bibliography"/>
      </w:pPr>
      <w:r>
        <w:t xml:space="preserve">Volterra, Vito. 1928.</w:t>
      </w:r>
      <w:r>
        <w:t xml:space="preserve"> </w:t>
      </w:r>
      <w:r>
        <w:t xml:space="preserve">“Variations and Fluctuations of the Number of Individuals in Animal Species Living Together.”</w:t>
      </w:r>
      <w:r>
        <w:t xml:space="preserve"> </w:t>
      </w:r>
      <w:r>
        <w:rPr>
          <w:i/>
          <w:iCs/>
        </w:rPr>
        <w:t xml:space="preserve">ICES Journal of Marine Science</w:t>
      </w:r>
      <w:r>
        <w:t xml:space="preserve"> </w:t>
      </w:r>
      <w:r>
        <w:t xml:space="preserve">3 (1): 3–51.</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 Type="http://schemas.openxmlformats.org/officeDocument/2006/relationships/image" Id="rId9" Target="media/rId9.jpg" /><Relationship Type="http://schemas.openxmlformats.org/officeDocument/2006/relationships/image" Id="rId18" Target="media/rId18.jpg" /><Relationship Type="http://schemas.openxmlformats.org/officeDocument/2006/relationships/image" Id="rId23" Target="media/rId23.jpg" /><Relationship Type="http://schemas.openxmlformats.org/officeDocument/2006/relationships/image" Id="rId100" Target="media/rId100.png" /><Relationship Type="http://schemas.openxmlformats.org/officeDocument/2006/relationships/image" Id="rId104" Target="media/rId104.png" /><Relationship Type="http://schemas.openxmlformats.org/officeDocument/2006/relationships/image" Id="rId87" Target="media/rId87.svg" /><Relationship Type="http://schemas.openxmlformats.org/officeDocument/2006/relationships/image" Id="rId113" Target="media/rId113.png" /><Relationship Type="http://schemas.openxmlformats.org/officeDocument/2006/relationships/image" Id="rId125" Target="media/rId125.png" /><Relationship Type="http://schemas.openxmlformats.org/officeDocument/2006/relationships/image" Id="rId131" Target="media/rId131.png" /><Relationship Type="http://schemas.openxmlformats.org/officeDocument/2006/relationships/image" Id="rId52" Target="media/rId52.png" /><Relationship Type="http://schemas.openxmlformats.org/officeDocument/2006/relationships/image" Id="rId95" Target="media/rId95.png" /><Relationship Type="http://schemas.openxmlformats.org/officeDocument/2006/relationships/image" Id="rId82" Target="media/rId82.png" /><Relationship Type="http://schemas.openxmlformats.org/officeDocument/2006/relationships/image" Id="rId29" Target="media/rId29.png" /><Relationship Type="http://schemas.openxmlformats.org/officeDocument/2006/relationships/image" Id="rId60" Target="media/rId60.png" /><Relationship Type="http://schemas.openxmlformats.org/officeDocument/2006/relationships/image" Id="rId64" Target="media/rId64.png" /><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147" Target="https://doi.org/10.1002/sim.8578" TargetMode="External" /><Relationship Type="http://schemas.openxmlformats.org/officeDocument/2006/relationships/hyperlink" Id="rId141" Target="https://doi.org/10.1016/S2666-5247(22)00114-8" TargetMode="External" /><Relationship Type="http://schemas.openxmlformats.org/officeDocument/2006/relationships/hyperlink" Id="rId149" Target="https://doi.org/10.1016/j.epidem.2016.04.001" TargetMode="External" /><Relationship Type="http://schemas.openxmlformats.org/officeDocument/2006/relationships/hyperlink" Id="rId143" Target="https://doi.org/10.1016/j.epidem.2024.100806" TargetMode="External" /><Relationship Type="http://schemas.openxmlformats.org/officeDocument/2006/relationships/hyperlink" Id="rId145" Target="https://doi.org/10.1159/000286345" TargetMode="External" /><Relationship Type="http://schemas.openxmlformats.org/officeDocument/2006/relationships/hyperlink" Id="rId121" Target="https://github.com/UCD-SERG/serocalculator" TargetMode="External" /><Relationship Type="http://schemas.openxmlformats.org/officeDocument/2006/relationships/hyperlink" Id="rId110" Target="https://github.com/UCD-SERG/serodynamics" TargetMode="External" /><Relationship Type="http://schemas.openxmlformats.org/officeDocument/2006/relationships/hyperlink" Id="rId48" Target="https://github.com/UCD-SERG/serodynamics/issues/11" TargetMode="External" /><Relationship Type="http://schemas.openxmlformats.org/officeDocument/2006/relationships/hyperlink" Id="rId138" Target="https://github.com/UCD-SERG/shigella/pull/13" TargetMode="External" /><Relationship Type="http://schemas.openxmlformats.org/officeDocument/2006/relationships/hyperlink" Id="rId136" Target="https://github.com/UCD-SERG/shiny_serocalculator" TargetMode="External" /><Relationship Type="http://schemas.openxmlformats.org/officeDocument/2006/relationships/hyperlink" Id="rId86" Target="https://ucdserg.shinyapps.io/antibody-kinetics-model-2/" TargetMode="External" /><Relationship Type="http://schemas.openxmlformats.org/officeDocument/2006/relationships/hyperlink" Id="rId124" Target="https://ucdserg.shinyapps.io/shiny_serocalculator/" TargetMode="External" /></Relationships>
</file>

<file path=word/_rels/footnotes.xml.rels><?xml version="1.0" encoding="UTF-8"?><Relationships xmlns="http://schemas.openxmlformats.org/package/2006/relationships"><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147" Target="https://doi.org/10.1002/sim.8578" TargetMode="External" /><Relationship Type="http://schemas.openxmlformats.org/officeDocument/2006/relationships/hyperlink" Id="rId141" Target="https://doi.org/10.1016/S2666-5247(22)00114-8" TargetMode="External" /><Relationship Type="http://schemas.openxmlformats.org/officeDocument/2006/relationships/hyperlink" Id="rId149" Target="https://doi.org/10.1016/j.epidem.2016.04.001" TargetMode="External" /><Relationship Type="http://schemas.openxmlformats.org/officeDocument/2006/relationships/hyperlink" Id="rId143" Target="https://doi.org/10.1016/j.epidem.2024.100806" TargetMode="External" /><Relationship Type="http://schemas.openxmlformats.org/officeDocument/2006/relationships/hyperlink" Id="rId145" Target="https://doi.org/10.1159/000286345" TargetMode="External" /><Relationship Type="http://schemas.openxmlformats.org/officeDocument/2006/relationships/hyperlink" Id="rId121" Target="https://github.com/UCD-SERG/serocalculator" TargetMode="External" /><Relationship Type="http://schemas.openxmlformats.org/officeDocument/2006/relationships/hyperlink" Id="rId110" Target="https://github.com/UCD-SERG/serodynamics" TargetMode="External" /><Relationship Type="http://schemas.openxmlformats.org/officeDocument/2006/relationships/hyperlink" Id="rId48" Target="https://github.com/UCD-SERG/serodynamics/issues/11" TargetMode="External" /><Relationship Type="http://schemas.openxmlformats.org/officeDocument/2006/relationships/hyperlink" Id="rId138" Target="https://github.com/UCD-SERG/shigella/pull/13" TargetMode="External" /><Relationship Type="http://schemas.openxmlformats.org/officeDocument/2006/relationships/hyperlink" Id="rId136" Target="https://github.com/UCD-SERG/shiny_serocalculator" TargetMode="External" /><Relationship Type="http://schemas.openxmlformats.org/officeDocument/2006/relationships/hyperlink" Id="rId86" Target="https://ucdserg.shinyapps.io/antibody-kinetics-model-2/" TargetMode="External" /><Relationship Type="http://schemas.openxmlformats.org/officeDocument/2006/relationships/hyperlink" Id="rId124" Target="https://ucdserg.shinyapps.io/shiny_serocalculato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Incidence Rates from Cross-Sectional Serosurveys</dc:title>
  <dc:creator>UC Davis Seroepidemiology Research Group (UCD-SERG)</dc:creator>
  <cp:keywords/>
  <dcterms:created xsi:type="dcterms:W3CDTF">2026-08-07T23:09:23Z</dcterms:created>
  <dcterms:modified xsi:type="dcterms:W3CDTF">2026-08-07T23:09:23Z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2026-08-07</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