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6.png" ContentType="image/png"/>
  <Override PartName="/word/media/rId19.png" ContentType="image/png"/>
  <Override PartName="/word/media/rId34.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Scrub Typhus Seroincidence Vignette</w:t>
      </w:r>
    </w:p>
    <w:p>
      <w:pPr>
        <w:pStyle w:val="Author"/>
      </w:pPr>
      <w:r>
        <w:t xml:space="preserve">UC Davis Seroepidemiology Research Group (SERG)</w:t>
      </w:r>
    </w:p>
    <w:p>
      <w:pPr>
        <w:pStyle w:val="Date"/>
      </w:pPr>
      <w:r>
        <w:t xml:space="preserve">2026-08-10</w:t>
      </w:r>
    </w:p>
    <w:bookmarkStart w:id="10" w:name="introduction"/>
    <w:p>
      <w:pPr>
        <w:pStyle w:val="Heading2"/>
      </w:pPr>
      <w:r>
        <w:t xml:space="preserve">1 Introduction</w:t>
      </w:r>
    </w:p>
    <w:p>
      <w:pPr>
        <w:pStyle w:val="FirstParagraph"/>
      </w:pPr>
      <w:r>
        <w:t xml:space="preserve">This vignette reproduces the analysis for:</w:t>
      </w:r>
      <w:r>
        <w:t xml:space="preserve"> </w:t>
      </w:r>
      <w:hyperlink r:id="rId9">
        <w:r>
          <w:rPr>
            <w:rStyle w:val="Hyperlink"/>
            <w:b/>
            <w:bCs/>
          </w:rPr>
          <w:t xml:space="preserve">Estimating the seroincidence of scrub typhus using antibody dynamics following infection</w:t>
        </w:r>
      </w:hyperlink>
      <w:r>
        <w:t xml:space="preserve"> </w:t>
      </w:r>
      <w:r>
        <w:t xml:space="preserve">(</w:t>
      </w:r>
      <w:r>
        <w:t xml:space="preserve">Aiemjoy et al.</w:t>
      </w:r>
      <w:r>
        <w:t xml:space="preserve"> </w:t>
      </w:r>
      <w:r>
        <w:t xml:space="preserve">(Accepted Feb 2024)</w:t>
      </w:r>
      <w:r>
        <w:t xml:space="preserve">).</w:t>
      </w:r>
    </w:p>
    <w:bookmarkEnd w:id="10"/>
    <w:bookmarkStart w:id="12" w:name="methods"/>
    <w:p>
      <w:pPr>
        <w:pStyle w:val="Heading2"/>
      </w:pPr>
      <w:r>
        <w:t xml:space="preserve">2 Methods</w:t>
      </w:r>
    </w:p>
    <w:p>
      <w:pPr>
        <w:pStyle w:val="FirstParagraph"/>
      </w:pPr>
      <w:r>
        <w:t xml:space="preserve">The</w:t>
      </w:r>
      <w:r>
        <w:t xml:space="preserve"> </w:t>
      </w:r>
      <w:r>
        <w:rPr>
          <w:b/>
          <w:bCs/>
        </w:rPr>
        <w:t xml:space="preserve">serocalculator</w:t>
      </w:r>
      <w:r>
        <w:t xml:space="preserve"> </w:t>
      </w:r>
      <w:r>
        <w:t xml:space="preserve">R package provides a rapid and computationally simple method for calculating seroconversion rates,</w:t>
      </w:r>
      <w:r>
        <w:t xml:space="preserve"> </w:t>
      </w:r>
      <w:r>
        <w:t xml:space="preserve">as originally published in</w:t>
      </w:r>
      <w:r>
        <w:t xml:space="preserve"> </w:t>
      </w:r>
      <w:r>
        <w:t xml:space="preserve">Simonsen et al. (2009)</w:t>
      </w:r>
      <w:r>
        <w:t xml:space="preserve"> </w:t>
      </w:r>
      <w:r>
        <w:t xml:space="preserve">and</w:t>
      </w:r>
      <w:r>
        <w:t xml:space="preserve"> </w:t>
      </w:r>
      <w:r>
        <w:t xml:space="preserve">Teunis et al. (2012)</w:t>
      </w:r>
      <w:r>
        <w:t xml:space="preserve">,</w:t>
      </w:r>
      <w:r>
        <w:t xml:space="preserve"> </w:t>
      </w:r>
      <w:r>
        <w:t xml:space="preserve">and further developed in subsequent publications by</w:t>
      </w:r>
      <w:r>
        <w:t xml:space="preserve"> </w:t>
      </w:r>
      <w:r>
        <w:t xml:space="preserve">deGraaf et al.</w:t>
      </w:r>
      <w:r>
        <w:t xml:space="preserve"> </w:t>
      </w:r>
      <w:r>
        <w:t xml:space="preserve">(2014)</w:t>
      </w:r>
      <w:r>
        <w:t xml:space="preserve">,</w:t>
      </w:r>
      <w:r>
        <w:t xml:space="preserve"> </w:t>
      </w:r>
      <w:r>
        <w:t xml:space="preserve">Teunis et al. (2016)</w:t>
      </w:r>
      <w:r>
        <w:t xml:space="preserve">, and</w:t>
      </w:r>
      <w:r>
        <w:t xml:space="preserve"> </w:t>
      </w:r>
      <w:r>
        <w:t xml:space="preserve">Teunis and Eijkeren (2020)</w:t>
      </w:r>
      <w:r>
        <w:t xml:space="preserve">.</w:t>
      </w:r>
      <w:r>
        <w:t xml:space="preserve"> </w:t>
      </w:r>
      <w:r>
        <w:t xml:space="preserve">In short,</w:t>
      </w:r>
      <w:r>
        <w:t xml:space="preserve"> </w:t>
      </w:r>
      <w:r>
        <w:t xml:space="preserve">longitudinal seroresponses from confirmed cases with a known symptom onset date</w:t>
      </w:r>
      <w:r>
        <w:t xml:space="preserve"> </w:t>
      </w:r>
      <w:r>
        <w:t xml:space="preserve">are assumed to represent the time course of human serum antibodies against a specific pathogen.</w:t>
      </w:r>
      <w:r>
        <w:t xml:space="preserve"> </w:t>
      </w:r>
      <w:r>
        <w:t xml:space="preserve">Therefore,</w:t>
      </w:r>
      <w:r>
        <w:t xml:space="preserve"> </w:t>
      </w:r>
      <w:r>
        <w:t xml:space="preserve">by using these longitudinal antibody dynamics with any cross–sectional sample of the same antibodies in a human population,</w:t>
      </w:r>
      <w:r>
        <w:t xml:space="preserve"> </w:t>
      </w:r>
      <w:r>
        <w:t xml:space="preserve">an incidence estimate can be calculated.</w:t>
      </w:r>
    </w:p>
    <w:bookmarkStart w:id="11" w:name="the-seroincidence-estimator"/>
    <w:p>
      <w:pPr>
        <w:pStyle w:val="Heading3"/>
      </w:pPr>
      <w:r>
        <w:t xml:space="preserve">2.1 The Seroincidence Estimator</w:t>
      </w:r>
    </w:p>
    <w:p>
      <w:pPr>
        <w:pStyle w:val="FirstParagraph"/>
      </w:pPr>
      <w:r>
        <w:t xml:space="preserve">The</w:t>
      </w:r>
      <w:r>
        <w:t xml:space="preserve"> </w:t>
      </w:r>
      <w:r>
        <w:rPr>
          <w:b/>
          <w:bCs/>
        </w:rPr>
        <w:t xml:space="preserve">serocalculator</w:t>
      </w:r>
      <w:r>
        <w:t xml:space="preserve"> </w:t>
      </w:r>
      <w:r>
        <w:t xml:space="preserve">package was designed to calculate the incidence of seroconversion by using the longitudinal seroresponse characteristics.</w:t>
      </w:r>
      <w:r>
        <w:t xml:space="preserve"> </w:t>
      </w:r>
      <w:r>
        <w:t xml:space="preserve">The distribution of serum antibody concentrations in a cross–sectional population sample is calculated as a function of the longitudinal seroresponse and the frequency of seroconversion (or seroincidence).</w:t>
      </w:r>
      <w:r>
        <w:t xml:space="preserve"> </w:t>
      </w:r>
      <w:r>
        <w:t xml:space="preserve">Given the seroresponse, this marginal distribution of antibody concentrations can be fitted to the cross-sectional data and thereby providing a means to estimate the seroincidence.</w:t>
      </w:r>
    </w:p>
    <w:bookmarkEnd w:id="11"/>
    <w:bookmarkEnd w:id="12"/>
    <w:bookmarkStart w:id="32" w:name="scrub-typhus-seroincidence"/>
    <w:p>
      <w:pPr>
        <w:pStyle w:val="Heading2"/>
      </w:pPr>
      <w:r>
        <w:t xml:space="preserve">3 Scrub Typhus Seroincidence</w:t>
      </w:r>
    </w:p>
    <w:p>
      <w:pPr>
        <w:pStyle w:val="FirstParagraph"/>
      </w:pPr>
      <w:r>
        <w:t xml:space="preserve">Scrub typhus, a vector-borne bacterial infection, is an important but neglected disease globally. Accurately characterizing burden is challenging due to non-specific symptoms and limited diagnostics. Prior seroepidemiology studies have struggled to find consensus cutoffs that permit comparing estimates across contexts and time. In this study, we present a novel approach that does not require a cutoff and instead uses information about antibody kinetics after infection to estimate seroincidence. We use data from three cohorts of scrub typhus patients in Chiang Rai, Thailand, and Vellore, India to characterize antibody kinetics after infection and two population serosurveys in the Kathmandu valley, Nepal, and Tamil Nadu, India to estimate seroincidence. The samples were tested for IgM and IgG responses to Orientia tsutsugamushi-derived recombinant 56-kDa antigen using commercial ELISA kits. We used Bayesian hierarchical models to characterize antibody responses after scrub typhus infection and used the joint distributions of the peak antibody titers and decay rates to estimate population-level incidence rates in the cross-sectional serosurveys.</w:t>
      </w:r>
    </w:p>
    <w:bookmarkStart w:id="16" w:name="load-packages"/>
    <w:p>
      <w:pPr>
        <w:pStyle w:val="Heading3"/>
      </w:pPr>
      <w:r>
        <w:t xml:space="preserve">3.1 Load packages</w:t>
      </w:r>
    </w:p>
    <w:p>
      <w:pPr>
        <w:pStyle w:val="FirstParagraph"/>
      </w:pPr>
      <w:r>
        <w:t xml:space="preserve">The first step in conducting this analysis is to load our necessary packages.</w:t>
      </w:r>
      <w:r>
        <w:t xml:space="preserve"> </w:t>
      </w:r>
      <w:r>
        <w:t xml:space="preserve">If you haven’t installed already, you will need to do so before loading.</w:t>
      </w:r>
      <w:r>
        <w:t xml:space="preserve"> </w:t>
      </w:r>
      <w:r>
        <w:t xml:space="preserve">We will also need to have the</w:t>
      </w:r>
      <w:r>
        <w:t xml:space="preserve"> </w:t>
      </w:r>
      <w:r>
        <w:rPr>
          <w:rStyle w:val="VerbatimChar"/>
        </w:rPr>
        <w:t xml:space="preserve">tidyverse</w:t>
      </w:r>
      <w:r>
        <w:t xml:space="preserve"> </w:t>
      </w:r>
      <w:r>
        <w:t xml:space="preserve">and</w:t>
      </w:r>
      <w:r>
        <w:t xml:space="preserve"> </w:t>
      </w:r>
      <w:r>
        <w:rPr>
          <w:rStyle w:val="VerbatimChar"/>
        </w:rPr>
        <w:t xml:space="preserve">mixtools</w:t>
      </w:r>
      <w:r>
        <w:t xml:space="preserve"> </w:t>
      </w:r>
      <w:r>
        <w:t xml:space="preserve">packages installed</w:t>
      </w:r>
      <w:r>
        <w:t xml:space="preserve"> </w:t>
      </w:r>
      <w:r>
        <w:t xml:space="preserve">for data manipulation and graphics operations we will perform in this vignette.</w:t>
      </w:r>
      <w:r>
        <w:t xml:space="preserve"> </w:t>
      </w:r>
      <w:r>
        <w:t xml:space="preserve">Please see the websites for</w:t>
      </w:r>
      <w:r>
        <w:t xml:space="preserve"> </w:t>
      </w:r>
      <w:hyperlink r:id="rId13">
        <w:r>
          <w:rPr>
            <w:rStyle w:val="VerbatimChar"/>
          </w:rPr>
          <w:t xml:space="preserve">serocalculator</w:t>
        </w:r>
      </w:hyperlink>
      <w:r>
        <w:t xml:space="preserve">,</w:t>
      </w:r>
      <w:r>
        <w:t xml:space="preserve"> </w:t>
      </w:r>
      <w:hyperlink r:id="rId14">
        <w:r>
          <w:rPr>
            <w:rStyle w:val="VerbatimChar"/>
          </w:rPr>
          <w:t xml:space="preserve">tidyverse</w:t>
        </w:r>
      </w:hyperlink>
      <w:r>
        <w:t xml:space="preserve">,</w:t>
      </w:r>
      <w:r>
        <w:t xml:space="preserve"> </w:t>
      </w:r>
      <w:r>
        <w:t xml:space="preserve">and</w:t>
      </w:r>
      <w:r>
        <w:t xml:space="preserve"> </w:t>
      </w:r>
      <w:hyperlink r:id="rId15">
        <w:r>
          <w:rPr>
            <w:rStyle w:val="VerbatimChar"/>
          </w:rPr>
          <w:t xml:space="preserve">mixtools</w:t>
        </w:r>
      </w:hyperlink>
      <w:r>
        <w:t xml:space="preserve"> </w:t>
      </w:r>
      <w:r>
        <w:t xml:space="preserve">for guidance on installing these packages into your R package library.</w:t>
      </w:r>
    </w:p>
    <w:p>
      <w:pPr>
        <w:pStyle w:val="BodyText"/>
      </w:pPr>
      <w:r>
        <w:t xml:space="preserve">Once all three of those packages are installed, we can load them into</w:t>
      </w:r>
      <w:r>
        <w:t xml:space="preserve"> </w:t>
      </w:r>
      <w:r>
        <w:t xml:space="preserve">our active R session environment:</w:t>
      </w:r>
    </w:p>
    <w:p>
      <w:pPr>
        <w:pStyle w:val="SourceCode"/>
      </w:pPr>
      <w:r>
        <w:rPr>
          <w:rStyle w:val="FunctionTok"/>
        </w:rPr>
        <w:t xml:space="preserve">library</w:t>
      </w:r>
      <w:r>
        <w:rPr>
          <w:rStyle w:val="NormalTok"/>
        </w:rPr>
        <w:t xml:space="preserve">(serocalculator)</w:t>
      </w:r>
      <w:r>
        <w:br/>
      </w:r>
      <w:r>
        <w:rPr>
          <w:rStyle w:val="FunctionTok"/>
        </w:rPr>
        <w:t xml:space="preserve">library</w:t>
      </w:r>
      <w:r>
        <w:rPr>
          <w:rStyle w:val="NormalTok"/>
        </w:rPr>
        <w:t xml:space="preserve">(tidyverse)</w:t>
      </w:r>
      <w:r>
        <w:br/>
      </w:r>
      <w:r>
        <w:rPr>
          <w:rStyle w:val="FunctionTok"/>
        </w:rPr>
        <w:t xml:space="preserve">library</w:t>
      </w:r>
      <w:r>
        <w:rPr>
          <w:rStyle w:val="NormalTok"/>
        </w:rPr>
        <w:t xml:space="preserve">(mixtools)</w:t>
      </w:r>
    </w:p>
    <w:bookmarkEnd w:id="16"/>
    <w:bookmarkStart w:id="30" w:name="load-data"/>
    <w:p>
      <w:pPr>
        <w:pStyle w:val="Heading3"/>
      </w:pPr>
      <w:r>
        <w:t xml:space="preserve">3.2 Load data</w:t>
      </w:r>
    </w:p>
    <w:p>
      <w:pPr>
        <w:pStyle w:val="FirstParagraph"/>
      </w:pPr>
      <w:r>
        <w:t xml:space="preserve">Pathogen-specific sample datasets, noise parameters, and longitudinal antibody dynamics for</w:t>
      </w:r>
      <w:r>
        <w:t xml:space="preserve"> </w:t>
      </w:r>
      <w:r>
        <w:rPr>
          <w:b/>
          <w:bCs/>
        </w:rPr>
        <w:t xml:space="preserve">serocalculator</w:t>
      </w:r>
      <w:r>
        <w:t xml:space="preserve"> </w:t>
      </w:r>
      <w:r>
        <w:t xml:space="preserve">are available on the</w:t>
      </w:r>
      <w:r>
        <w:t xml:space="preserve"> </w:t>
      </w:r>
      <w:hyperlink r:id="rId17">
        <w:r>
          <w:rPr>
            <w:rStyle w:val="Hyperlink"/>
          </w:rPr>
          <w:t xml:space="preserve">Serocalculator Repository</w:t>
        </w:r>
      </w:hyperlink>
      <w:r>
        <w:t xml:space="preserve"> </w:t>
      </w:r>
      <w:r>
        <w:t xml:space="preserve">on Open Science Framework (OSF).</w:t>
      </w:r>
      <w:r>
        <w:t xml:space="preserve"> </w:t>
      </w:r>
      <w:r>
        <w:t xml:space="preserve">This vignette reads local, vendored copies of that data instead of fetching them at render time, so the documentation build doesn’t depend on OSF’s own availability — see</w:t>
      </w:r>
      <w:r>
        <w:t xml:space="preserve"> </w:t>
      </w:r>
      <w:r>
        <w:rPr>
          <w:rStyle w:val="VerbatimChar"/>
        </w:rPr>
        <w:t xml:space="preserve">vignettes/precomputed/osf/README.md</w:t>
      </w:r>
      <w:r>
        <w:t xml:space="preserve"> </w:t>
      </w:r>
      <w:r>
        <w:t xml:space="preserve">for why and how to refresh them.</w:t>
      </w:r>
      <w:r>
        <w:t xml:space="preserve"> </w:t>
      </w:r>
      <w:r>
        <w:t xml:space="preserve">When adapting this code to your own analysis, replace the vendored paths below with the OSF download URL (or your own local file).</w:t>
      </w:r>
    </w:p>
    <w:bookmarkStart w:id="18" w:name="X1714420ab9e2734f8369f5ee70a749859cd59dc"/>
    <w:p>
      <w:pPr>
        <w:pStyle w:val="Heading4"/>
      </w:pPr>
      <w:r>
        <w:t xml:space="preserve">3.2.1 Load and prepare longitudinal parameter data</w:t>
      </w:r>
    </w:p>
    <w:p>
      <w:pPr>
        <w:pStyle w:val="FirstParagraph"/>
      </w:pPr>
      <w:r>
        <w:t xml:space="preserve">We will first load the longitudinal curve parameters to set the antibody decay parameters. These parameters were modeled with Bayesian hierarchical models to fit two-phase power-function decay models to the longitudinal antibody responses among confirmed enteric fever cases.</w:t>
      </w:r>
    </w:p>
    <w:p>
      <w:pPr>
        <w:pStyle w:val="SourceCode"/>
      </w:pPr>
      <w:r>
        <w:rPr>
          <w:rStyle w:val="CommentTok"/>
        </w:rPr>
        <w:t xml:space="preserve"># Vendored from OSF (osf.io/u5gxh).</w:t>
      </w:r>
      <w:r>
        <w:br/>
      </w:r>
      <w:r>
        <w:rPr>
          <w:rStyle w:val="NormalTok"/>
        </w:rPr>
        <w:t xml:space="preserve">curves </w:t>
      </w:r>
      <w:r>
        <w:rPr>
          <w:rStyle w:val="OtherTok"/>
        </w:rPr>
        <w:t xml:space="preserve">&lt;-</w:t>
      </w:r>
      <w:r>
        <w:br/>
      </w:r>
      <w:r>
        <w:rPr>
          <w:rStyle w:val="NormalTok"/>
        </w:rPr>
        <w:t xml:space="preserve">  </w:t>
      </w:r>
      <w:r>
        <w:rPr>
          <w:rStyle w:val="StringTok"/>
        </w:rPr>
        <w:t xml:space="preserve">"../precomputed/osf/u5gxh.rds"</w:t>
      </w:r>
      <w:r>
        <w:rPr>
          <w:rStyle w:val="NormalTok"/>
        </w:rPr>
        <w:t xml:space="preserve"> </w:t>
      </w:r>
      <w:r>
        <w:rPr>
          <w:rStyle w:val="SpecialCharTok"/>
        </w:rPr>
        <w:t xml:space="preserve">|&gt;</w:t>
      </w:r>
      <w:r>
        <w:br/>
      </w:r>
      <w:r>
        <w:rPr>
          <w:rStyle w:val="NormalTok"/>
        </w:rPr>
        <w:t xml:space="preserve">  </w:t>
      </w:r>
      <w:r>
        <w:rPr>
          <w:rStyle w:val="FunctionTok"/>
        </w:rPr>
        <w:t xml:space="preserve">load_sr_params</w:t>
      </w:r>
      <w:r>
        <w:rPr>
          <w:rStyle w:val="NormalTok"/>
        </w:rPr>
        <w:t xml:space="preserve">()</w:t>
      </w:r>
      <w:r>
        <w:br/>
      </w:r>
      <w:r>
        <w:rPr>
          <w:rStyle w:val="CommentTok"/>
        </w:rPr>
        <w:t xml:space="preserve">#&gt; Warning: `data` is missing `iter` column</w:t>
      </w:r>
      <w:r>
        <w:br/>
      </w:r>
      <w:r>
        <w:rPr>
          <w:rStyle w:val="CommentTok"/>
        </w:rPr>
        <w:t xml:space="preserve">#&gt; It will be inferred from row ordering.</w:t>
      </w:r>
    </w:p>
    <w:bookmarkEnd w:id="18"/>
    <w:bookmarkStart w:id="22" w:name="visualize-curve-parameters"/>
    <w:p>
      <w:pPr>
        <w:pStyle w:val="Heading4"/>
      </w:pPr>
      <w:r>
        <w:t xml:space="preserve">3.2.2 Visualize curve parameters</w:t>
      </w:r>
    </w:p>
    <w:p>
      <w:pPr>
        <w:pStyle w:val="FirstParagraph"/>
      </w:pPr>
      <w:r>
        <w:t xml:space="preserve">We can graph the decay curves with an</w:t>
      </w:r>
      <w:r>
        <w:t xml:space="preserve"> </w:t>
      </w:r>
      <w:r>
        <w:rPr>
          <w:rStyle w:val="VerbatimChar"/>
        </w:rPr>
        <w:t xml:space="preserve">autoplot()</w:t>
      </w:r>
      <w:r>
        <w:t xml:space="preserve"> </w:t>
      </w:r>
      <w:r>
        <w:t xml:space="preserve">method:</w:t>
      </w:r>
    </w:p>
    <w:p>
      <w:pPr>
        <w:pStyle w:val="SourceCode"/>
      </w:pPr>
      <w:r>
        <w:rPr>
          <w:rStyle w:val="NormalTok"/>
        </w:rPr>
        <w:t xml:space="preserve">curves </w:t>
      </w:r>
      <w:r>
        <w:rPr>
          <w:rStyle w:val="SpecialCharTok"/>
        </w:rPr>
        <w:t xml:space="preserve">|&gt;</w:t>
      </w:r>
      <w:r>
        <w:rPr>
          <w:rStyle w:val="NormalTok"/>
        </w:rPr>
        <w:t xml:space="preserve"> </w:t>
      </w:r>
      <w:r>
        <w:rPr>
          <w:rStyle w:val="FunctionTok"/>
        </w:rPr>
        <w:t xml:space="preserve">autoplot</w:t>
      </w:r>
      <w:r>
        <w:rPr>
          <w:rStyle w:val="NormalTok"/>
        </w:rPr>
        <w:t xml:space="preserve">()</w:t>
      </w:r>
    </w:p>
    <w:p>
      <w:pPr>
        <w:pStyle w:val="FirstParagraph"/>
      </w:pPr>
      <w:r>
        <w:drawing>
          <wp:inline>
            <wp:extent cx="5334000" cy="3048000"/>
            <wp:effectExtent b="0" l="0" r="0" t="0"/>
            <wp:docPr descr="" title="" id="20" name="Picture"/>
            <a:graphic>
              <a:graphicData uri="http://schemas.openxmlformats.org/drawingml/2006/picture">
                <pic:pic>
                  <pic:nvPicPr>
                    <pic:cNvPr descr="scrubTyphus_example_files/figure-docx/unnamed-chunk-2-1.png" id="21" name="Picture"/>
                    <pic:cNvPicPr>
                      <a:picLocks noChangeArrowheads="1" noChangeAspect="1"/>
                    </pic:cNvPicPr>
                  </pic:nvPicPr>
                  <pic:blipFill>
                    <a:blip r:embed="rId19"/>
                    <a:stretch>
                      <a:fillRect/>
                    </a:stretch>
                  </pic:blipFill>
                  <pic:spPr bwMode="auto">
                    <a:xfrm>
                      <a:off x="0" y="0"/>
                      <a:ext cx="5334000" cy="3048000"/>
                    </a:xfrm>
                    <a:prstGeom prst="rect">
                      <a:avLst/>
                    </a:prstGeom>
                    <a:noFill/>
                    <a:ln w="9525">
                      <a:noFill/>
                      <a:headEnd/>
                      <a:tailEnd/>
                    </a:ln>
                  </pic:spPr>
                </pic:pic>
              </a:graphicData>
            </a:graphic>
          </wp:inline>
        </w:drawing>
      </w:r>
    </w:p>
    <w:bookmarkEnd w:id="22"/>
    <w:bookmarkStart w:id="23" w:name="load-and-prepare-cross-sectional-data"/>
    <w:p>
      <w:pPr>
        <w:pStyle w:val="Heading4"/>
      </w:pPr>
      <w:r>
        <w:t xml:space="preserve">3.2.3 Load and prepare cross-sectional data</w:t>
      </w:r>
    </w:p>
    <w:p>
      <w:pPr>
        <w:pStyle w:val="FirstParagraph"/>
      </w:pPr>
      <w:r>
        <w:t xml:space="preserve">Next, we load our sample cross-sectional data.</w:t>
      </w:r>
    </w:p>
    <w:p>
      <w:pPr>
        <w:pStyle w:val="SourceCode"/>
      </w:pPr>
      <w:r>
        <w:rPr>
          <w:rStyle w:val="CommentTok"/>
        </w:rPr>
        <w:t xml:space="preserve"># Vendored from OSF (osf.io/h5js4); renamed to the required variable names.</w:t>
      </w:r>
      <w:r>
        <w:br/>
      </w:r>
      <w:r>
        <w:rPr>
          <w:rStyle w:val="NormalTok"/>
        </w:rPr>
        <w:t xml:space="preserve">xs_data </w:t>
      </w:r>
      <w:r>
        <w:rPr>
          <w:rStyle w:val="OtherTok"/>
        </w:rPr>
        <w:t xml:space="preserve">&lt;-</w:t>
      </w:r>
      <w:r>
        <w:rPr>
          <w:rStyle w:val="NormalTok"/>
        </w:rPr>
        <w:t xml:space="preserve"> </w:t>
      </w:r>
      <w:r>
        <w:rPr>
          <w:rStyle w:val="FunctionTok"/>
        </w:rPr>
        <w:t xml:space="preserve">load_pop_data</w:t>
      </w:r>
      <w:r>
        <w:rPr>
          <w:rStyle w:val="NormalTok"/>
        </w:rPr>
        <w:t xml:space="preserve">(</w:t>
      </w:r>
      <w:r>
        <w:br/>
      </w:r>
      <w:r>
        <w:rPr>
          <w:rStyle w:val="NormalTok"/>
        </w:rPr>
        <w:t xml:space="preserve">  </w:t>
      </w:r>
      <w:r>
        <w:rPr>
          <w:rStyle w:val="AttributeTok"/>
        </w:rPr>
        <w:t xml:space="preserve">file_path =</w:t>
      </w:r>
      <w:r>
        <w:rPr>
          <w:rStyle w:val="NormalTok"/>
        </w:rPr>
        <w:t xml:space="preserve"> </w:t>
      </w:r>
      <w:r>
        <w:rPr>
          <w:rStyle w:val="StringTok"/>
        </w:rPr>
        <w:t xml:space="preserve">"../precomputed/osf/h5js4.rds"</w:t>
      </w:r>
      <w:r>
        <w:rPr>
          <w:rStyle w:val="NormalTok"/>
        </w:rPr>
        <w:t xml:space="preserve">,</w:t>
      </w:r>
      <w:r>
        <w:br/>
      </w:r>
      <w:r>
        <w:rPr>
          <w:rStyle w:val="NormalTok"/>
        </w:rPr>
        <w:t xml:space="preserve">  </w:t>
      </w:r>
      <w:r>
        <w:rPr>
          <w:rStyle w:val="AttributeTok"/>
        </w:rPr>
        <w:t xml:space="preserve">age =</w:t>
      </w:r>
      <w:r>
        <w:rPr>
          <w:rStyle w:val="NormalTok"/>
        </w:rPr>
        <w:t xml:space="preserve"> </w:t>
      </w:r>
      <w:r>
        <w:rPr>
          <w:rStyle w:val="StringTok"/>
        </w:rPr>
        <w:t xml:space="preserve">"Age"</w:t>
      </w:r>
      <w:r>
        <w:rPr>
          <w:rStyle w:val="NormalTok"/>
        </w:rPr>
        <w:t xml:space="preserve">,</w:t>
      </w:r>
      <w:r>
        <w:br/>
      </w:r>
      <w:r>
        <w:rPr>
          <w:rStyle w:val="NormalTok"/>
        </w:rPr>
        <w:t xml:space="preserve">  </w:t>
      </w:r>
      <w:r>
        <w:rPr>
          <w:rStyle w:val="AttributeTok"/>
        </w:rPr>
        <w:t xml:space="preserve">value =</w:t>
      </w:r>
      <w:r>
        <w:rPr>
          <w:rStyle w:val="NormalTok"/>
        </w:rPr>
        <w:t xml:space="preserve"> </w:t>
      </w:r>
      <w:r>
        <w:rPr>
          <w:rStyle w:val="StringTok"/>
        </w:rPr>
        <w:t xml:space="preserve">"result"</w:t>
      </w:r>
      <w:r>
        <w:rPr>
          <w:rStyle w:val="NormalTok"/>
        </w:rPr>
        <w:t xml:space="preserve">,</w:t>
      </w:r>
      <w:r>
        <w:br/>
      </w:r>
      <w:r>
        <w:rPr>
          <w:rStyle w:val="NormalTok"/>
        </w:rPr>
        <w:t xml:space="preserve">  </w:t>
      </w:r>
      <w:r>
        <w:rPr>
          <w:rStyle w:val="AttributeTok"/>
        </w:rPr>
        <w:t xml:space="preserve">id =</w:t>
      </w:r>
      <w:r>
        <w:rPr>
          <w:rStyle w:val="NormalTok"/>
        </w:rPr>
        <w:t xml:space="preserve"> </w:t>
      </w:r>
      <w:r>
        <w:rPr>
          <w:rStyle w:val="StringTok"/>
        </w:rPr>
        <w:t xml:space="preserve">"index_id"</w:t>
      </w:r>
      <w:r>
        <w:rPr>
          <w:rStyle w:val="NormalTok"/>
        </w:rPr>
        <w:t xml:space="preserve">,</w:t>
      </w:r>
      <w:r>
        <w:br/>
      </w:r>
      <w:r>
        <w:rPr>
          <w:rStyle w:val="NormalTok"/>
        </w:rPr>
        <w:t xml:space="preserve">  </w:t>
      </w:r>
      <w:r>
        <w:rPr>
          <w:rStyle w:val="AttributeTok"/>
        </w:rPr>
        <w:t xml:space="preserve">standardize =</w:t>
      </w:r>
      <w:r>
        <w:rPr>
          <w:rStyle w:val="NormalTok"/>
        </w:rPr>
        <w:t xml:space="preserve"> </w:t>
      </w:r>
      <w:r>
        <w:rPr>
          <w:rStyle w:val="ConstantTok"/>
        </w:rPr>
        <w:t xml:space="preserve">TRUE</w:t>
      </w:r>
      <w:r>
        <w:br/>
      </w:r>
      <w:r>
        <w:rPr>
          <w:rStyle w:val="NormalTok"/>
        </w:rPr>
        <w:t xml:space="preserve">)</w:t>
      </w:r>
    </w:p>
    <w:bookmarkEnd w:id="23"/>
    <w:bookmarkStart w:id="24" w:name="check-formatting"/>
    <w:p>
      <w:pPr>
        <w:pStyle w:val="Heading4"/>
      </w:pPr>
      <w:r>
        <w:t xml:space="preserve">3.2.4 Check formatting</w:t>
      </w:r>
    </w:p>
    <w:p>
      <w:pPr>
        <w:pStyle w:val="FirstParagraph"/>
      </w:pPr>
      <w:r>
        <w:t xml:space="preserve">We can check that</w:t>
      </w:r>
      <w:r>
        <w:t xml:space="preserve"> </w:t>
      </w:r>
      <w:r>
        <w:rPr>
          <w:rStyle w:val="VerbatimChar"/>
        </w:rPr>
        <w:t xml:space="preserve">xs_data</w:t>
      </w:r>
      <w:r>
        <w:t xml:space="preserve"> </w:t>
      </w:r>
      <w:r>
        <w:t xml:space="preserve">has the correct formatting using the</w:t>
      </w:r>
      <w:r>
        <w:t xml:space="preserve"> </w:t>
      </w:r>
      <w:r>
        <w:rPr>
          <w:rStyle w:val="VerbatimChar"/>
        </w:rPr>
        <w:t xml:space="preserve">check_pop_data()</w:t>
      </w:r>
      <w:r>
        <w:t xml:space="preserve"> </w:t>
      </w:r>
      <w:r>
        <w:t xml:space="preserve">function:</w:t>
      </w:r>
    </w:p>
    <w:p>
      <w:pPr>
        <w:pStyle w:val="SourceCode"/>
      </w:pPr>
      <w:r>
        <w:rPr>
          <w:rStyle w:val="NormalTok"/>
        </w:rPr>
        <w:t xml:space="preserve">xs_data </w:t>
      </w:r>
      <w:r>
        <w:rPr>
          <w:rStyle w:val="SpecialCharTok"/>
        </w:rPr>
        <w:t xml:space="preserve">|&gt;</w:t>
      </w:r>
      <w:r>
        <w:rPr>
          <w:rStyle w:val="NormalTok"/>
        </w:rPr>
        <w:t xml:space="preserve"> </w:t>
      </w:r>
      <w:r>
        <w:rPr>
          <w:rStyle w:val="FunctionTok"/>
        </w:rPr>
        <w:t xml:space="preserve">check_pop_data</w:t>
      </w:r>
      <w:r>
        <w:rPr>
          <w:rStyle w:val="NormalTok"/>
        </w:rPr>
        <w:t xml:space="preserve">(</w:t>
      </w:r>
      <w:r>
        <w:rPr>
          <w:rStyle w:val="AttributeTok"/>
        </w:rPr>
        <w:t xml:space="preserve">verbose =</w:t>
      </w:r>
      <w:r>
        <w:rPr>
          <w:rStyle w:val="NormalTok"/>
        </w:rPr>
        <w:t xml:space="preserve"> </w:t>
      </w:r>
      <w:r>
        <w:rPr>
          <w:rStyle w:val="ConstantTok"/>
        </w:rPr>
        <w:t xml:space="preserve">TRUE</w:t>
      </w:r>
      <w:r>
        <w:rPr>
          <w:rStyle w:val="NormalTok"/>
        </w:rPr>
        <w:t xml:space="preserve">)</w:t>
      </w:r>
      <w:r>
        <w:br/>
      </w:r>
      <w:r>
        <w:rPr>
          <w:rStyle w:val="CommentTok"/>
        </w:rPr>
        <w:t xml:space="preserve">#&gt; data format is as expected.</w:t>
      </w:r>
    </w:p>
    <w:bookmarkEnd w:id="24"/>
    <w:bookmarkStart w:id="25" w:name="summarize-antibody-data"/>
    <w:p>
      <w:pPr>
        <w:pStyle w:val="Heading4"/>
      </w:pPr>
      <w:r>
        <w:t xml:space="preserve">3.2.5 Summarize antibody data</w:t>
      </w:r>
    </w:p>
    <w:p>
      <w:pPr>
        <w:pStyle w:val="FirstParagraph"/>
      </w:pPr>
      <w:r>
        <w:t xml:space="preserve">We can compute numerical summaries of our cross-sectional antibody data with a</w:t>
      </w:r>
      <w:r>
        <w:t xml:space="preserve"> </w:t>
      </w:r>
      <w:r>
        <w:rPr>
          <w:rStyle w:val="VerbatimChar"/>
        </w:rPr>
        <w:t xml:space="preserve">summary()</w:t>
      </w:r>
      <w:r>
        <w:t xml:space="preserve"> </w:t>
      </w:r>
      <w:r>
        <w:t xml:space="preserve">method for</w:t>
      </w:r>
      <w:r>
        <w:t xml:space="preserve"> </w:t>
      </w:r>
      <w:r>
        <w:rPr>
          <w:rStyle w:val="VerbatimChar"/>
        </w:rPr>
        <w:t xml:space="preserve">pop_data</w:t>
      </w:r>
      <w:r>
        <w:t xml:space="preserve"> </w:t>
      </w:r>
      <w:r>
        <w:t xml:space="preserve">objects:</w:t>
      </w:r>
    </w:p>
    <w:p>
      <w:pPr>
        <w:pStyle w:val="SourceCode"/>
      </w:pPr>
      <w:r>
        <w:rPr>
          <w:rStyle w:val="NormalTok"/>
        </w:rPr>
        <w:t xml:space="preserve">xs_data </w:t>
      </w:r>
      <w:r>
        <w:rPr>
          <w:rStyle w:val="SpecialCharTok"/>
        </w:rPr>
        <w:t xml:space="preserve">|&gt;</w:t>
      </w:r>
      <w:r>
        <w:rPr>
          <w:rStyle w:val="NormalTok"/>
        </w:rPr>
        <w:t xml:space="preserve"> </w:t>
      </w:r>
      <w:r>
        <w:rPr>
          <w:rStyle w:val="FunctionTok"/>
        </w:rPr>
        <w:t xml:space="preserve">summary</w:t>
      </w:r>
      <w:r>
        <w:rPr>
          <w:rStyle w:val="NormalTok"/>
        </w:rPr>
        <w:t xml:space="preserve">(</w:t>
      </w:r>
      <w:r>
        <w:rPr>
          <w:rStyle w:val="AttributeTok"/>
        </w:rPr>
        <w:t xml:space="preserve">strata =</w:t>
      </w:r>
      <w:r>
        <w:rPr>
          <w:rStyle w:val="NormalTok"/>
        </w:rPr>
        <w:t xml:space="preserve"> </w:t>
      </w:r>
      <w:r>
        <w:rPr>
          <w:rStyle w:val="StringTok"/>
        </w:rPr>
        <w:t xml:space="preserve">"country"</w:t>
      </w:r>
      <w:r>
        <w:rPr>
          <w:rStyle w:val="NormalTok"/>
        </w:rPr>
        <w:t xml:space="preserve">)</w:t>
      </w:r>
      <w:r>
        <w:br/>
      </w:r>
      <w:r>
        <w:rPr>
          <w:rStyle w:val="CommentTok"/>
        </w:rPr>
        <w:t xml:space="preserve">#&gt; Warning: There were 2 warnings in `dplyr::summarize()`.</w:t>
      </w:r>
      <w:r>
        <w:br/>
      </w:r>
      <w:r>
        <w:rPr>
          <w:rStyle w:val="CommentTok"/>
        </w:rPr>
        <w:t xml:space="preserve">#&gt; The first warning was:</w:t>
      </w:r>
      <w:r>
        <w:br/>
      </w:r>
      <w:r>
        <w:rPr>
          <w:rStyle w:val="CommentTok"/>
        </w:rPr>
        <w:t xml:space="preserve">#&gt; ℹ In argument: `across(...)`.</w:t>
      </w:r>
      <w:r>
        <w:br/>
      </w:r>
      <w:r>
        <w:rPr>
          <w:rStyle w:val="CommentTok"/>
        </w:rPr>
        <w:t xml:space="preserve">#&gt; ℹ In group 4: `antigen_iso = OT56kda_IgM`, `country = Nepal`.</w:t>
      </w:r>
      <w:r>
        <w:br/>
      </w:r>
      <w:r>
        <w:rPr>
          <w:rStyle w:val="CommentTok"/>
        </w:rPr>
        <w:t xml:space="preserve">#&gt; Caused by warning in `min()`:</w:t>
      </w:r>
      <w:r>
        <w:br/>
      </w:r>
      <w:r>
        <w:rPr>
          <w:rStyle w:val="CommentTok"/>
        </w:rPr>
        <w:t xml:space="preserve">#&gt; ! no non-missing arguments to min; returning Inf</w:t>
      </w:r>
      <w:r>
        <w:br/>
      </w:r>
      <w:r>
        <w:rPr>
          <w:rStyle w:val="CommentTok"/>
        </w:rPr>
        <w:t xml:space="preserve">#&gt; ℹ Run `dplyr::last_dplyr_warnings()` to see the 1 remaining warning.</w:t>
      </w:r>
      <w:r>
        <w:br/>
      </w:r>
      <w:r>
        <w:rPr>
          <w:rStyle w:val="CommentTok"/>
        </w:rPr>
        <w:t xml:space="preserve">#&gt; </w:t>
      </w:r>
      <w:r>
        <w:br/>
      </w:r>
      <w:r>
        <w:rPr>
          <w:rStyle w:val="CommentTok"/>
        </w:rPr>
        <w:t xml:space="preserve">#&gt; n = 1608 </w:t>
      </w:r>
      <w:r>
        <w:br/>
      </w:r>
      <w:r>
        <w:rPr>
          <w:rStyle w:val="CommentTok"/>
        </w:rPr>
        <w:t xml:space="preserve">#&gt; </w:t>
      </w:r>
      <w:r>
        <w:br/>
      </w:r>
      <w:r>
        <w:rPr>
          <w:rStyle w:val="CommentTok"/>
        </w:rPr>
        <w:t xml:space="preserve">#&gt; Distribution of age: </w:t>
      </w:r>
      <w:r>
        <w:br/>
      </w:r>
      <w:r>
        <w:rPr>
          <w:rStyle w:val="CommentTok"/>
        </w:rPr>
        <w:t xml:space="preserve">#&gt; </w:t>
      </w:r>
      <w:r>
        <w:br/>
      </w:r>
      <w:r>
        <w:rPr>
          <w:rStyle w:val="CommentTok"/>
        </w:rPr>
        <w:t xml:space="preserve">#&gt; # A tibble: 2 × 8</w:t>
      </w:r>
      <w:r>
        <w:br/>
      </w:r>
      <w:r>
        <w:rPr>
          <w:rStyle w:val="CommentTok"/>
        </w:rPr>
        <w:t xml:space="preserve">#&gt;   country     n   min first_quartile median  mean third_quartile   max</w:t>
      </w:r>
      <w:r>
        <w:br/>
      </w:r>
      <w:r>
        <w:rPr>
          <w:rStyle w:val="CommentTok"/>
        </w:rPr>
        <w:t xml:space="preserve">#&gt;   &lt;fct&gt;   &lt;int&gt; &lt;dbl&gt;          &lt;dbl&gt;  &lt;dbl&gt; &lt;dbl&gt;          &lt;dbl&gt; &lt;dbl&gt;</w:t>
      </w:r>
      <w:r>
        <w:br/>
      </w:r>
      <w:r>
        <w:rPr>
          <w:rStyle w:val="CommentTok"/>
        </w:rPr>
        <w:t xml:space="preserve">#&gt; 1 India     721  18             40     49    50.5           62    87  </w:t>
      </w:r>
      <w:r>
        <w:br/>
      </w:r>
      <w:r>
        <w:rPr>
          <w:rStyle w:val="CommentTok"/>
        </w:rPr>
        <w:t xml:space="preserve">#&gt; 2 Nepal     887   0.9            5.5   10.9  11.6           17.0  27.4</w:t>
      </w:r>
      <w:r>
        <w:br/>
      </w:r>
      <w:r>
        <w:rPr>
          <w:rStyle w:val="CommentTok"/>
        </w:rPr>
        <w:t xml:space="preserve">#&gt; </w:t>
      </w:r>
      <w:r>
        <w:br/>
      </w:r>
      <w:r>
        <w:rPr>
          <w:rStyle w:val="CommentTok"/>
        </w:rPr>
        <w:t xml:space="preserve">#&gt; Distributions of antigen-isotype measurements:</w:t>
      </w:r>
      <w:r>
        <w:br/>
      </w:r>
      <w:r>
        <w:rPr>
          <w:rStyle w:val="CommentTok"/>
        </w:rPr>
        <w:t xml:space="preserve">#&gt; </w:t>
      </w:r>
      <w:r>
        <w:br/>
      </w:r>
      <w:r>
        <w:rPr>
          <w:rStyle w:val="CommentTok"/>
        </w:rPr>
        <w:t xml:space="preserve">#&gt; # A tibble: 4 × 8</w:t>
      </w:r>
      <w:r>
        <w:br/>
      </w:r>
      <w:r>
        <w:rPr>
          <w:rStyle w:val="CommentTok"/>
        </w:rPr>
        <w:t xml:space="preserve">#&gt;   antigen_iso country     Min `1st Qu.` Median `3rd Qu.`     Max `# NAs`</w:t>
      </w:r>
      <w:r>
        <w:br/>
      </w:r>
      <w:r>
        <w:rPr>
          <w:rStyle w:val="CommentTok"/>
        </w:rPr>
        <w:t xml:space="preserve">#&gt;   &lt;fct&gt;       &lt;fct&gt;     &lt;dbl&gt;     &lt;dbl&gt;  &lt;dbl&gt;     &lt;dbl&gt;   &lt;dbl&gt;   &lt;int&gt;</w:t>
      </w:r>
      <w:r>
        <w:br/>
      </w:r>
      <w:r>
        <w:rPr>
          <w:rStyle w:val="CommentTok"/>
        </w:rPr>
        <w:t xml:space="preserve">#&gt; 1 OT56kda_IgG India     0.05      0.111  0.222     2.56     3.81       0</w:t>
      </w:r>
      <w:r>
        <w:br/>
      </w:r>
      <w:r>
        <w:rPr>
          <w:rStyle w:val="CommentTok"/>
        </w:rPr>
        <w:t xml:space="preserve">#&gt; 2 OT56kda_IgM India     0.051     0.1    0.139     0.229    3.60       0</w:t>
      </w:r>
      <w:r>
        <w:br/>
      </w:r>
      <w:r>
        <w:rPr>
          <w:rStyle w:val="CommentTok"/>
        </w:rPr>
        <w:t xml:space="preserve">#&gt; 3 OT56kda_IgG Nepal     0.112     0.335  0.464     0.602    3.29       0</w:t>
      </w:r>
      <w:r>
        <w:br/>
      </w:r>
      <w:r>
        <w:rPr>
          <w:rStyle w:val="CommentTok"/>
        </w:rPr>
        <w:t xml:space="preserve">#&gt; 4 OT56kda_IgM Nepal   Inf        NA     NA        NA     -Inf       1105</w:t>
      </w:r>
    </w:p>
    <w:bookmarkEnd w:id="25"/>
    <w:bookmarkStart w:id="29" w:name="visualize-antibody-data"/>
    <w:p>
      <w:pPr>
        <w:pStyle w:val="Heading4"/>
      </w:pPr>
      <w:r>
        <w:t xml:space="preserve">3.2.6 Visualize antibody data</w:t>
      </w:r>
    </w:p>
    <w:p>
      <w:pPr>
        <w:pStyle w:val="FirstParagraph"/>
      </w:pPr>
      <w:r>
        <w:t xml:space="preserve">Let’s also take a look at how antibody responses change by age.</w:t>
      </w:r>
    </w:p>
    <w:p>
      <w:pPr>
        <w:pStyle w:val="SourceCode"/>
      </w:pPr>
      <w:r>
        <w:rPr>
          <w:rStyle w:val="CommentTok"/>
        </w:rPr>
        <w:t xml:space="preserve"># Plot antibody responses by age</w:t>
      </w:r>
      <w:r>
        <w:br/>
      </w:r>
      <w:r>
        <w:rPr>
          <w:rStyle w:val="FunctionTok"/>
        </w:rPr>
        <w:t xml:space="preserve">autoplot</w:t>
      </w:r>
      <w:r>
        <w:rPr>
          <w:rStyle w:val="NormalTok"/>
        </w:rPr>
        <w:t xml:space="preserve">(</w:t>
      </w:r>
      <w:r>
        <w:rPr>
          <w:rStyle w:val="AttributeTok"/>
        </w:rPr>
        <w:t xml:space="preserve">object =</w:t>
      </w:r>
      <w:r>
        <w:rPr>
          <w:rStyle w:val="NormalTok"/>
        </w:rPr>
        <w:t xml:space="preserve"> xs_data, </w:t>
      </w:r>
      <w:r>
        <w:rPr>
          <w:rStyle w:val="AttributeTok"/>
        </w:rPr>
        <w:t xml:space="preserve">type =</w:t>
      </w:r>
      <w:r>
        <w:rPr>
          <w:rStyle w:val="NormalTok"/>
        </w:rPr>
        <w:t xml:space="preserve"> </w:t>
      </w:r>
      <w:r>
        <w:rPr>
          <w:rStyle w:val="StringTok"/>
        </w:rPr>
        <w:t xml:space="preserve">"age-scatter"</w:t>
      </w:r>
      <w:r>
        <w:rPr>
          <w:rStyle w:val="NormalTok"/>
        </w:rPr>
        <w:t xml:space="preserve">, </w:t>
      </w:r>
      <w:r>
        <w:rPr>
          <w:rStyle w:val="AttributeTok"/>
        </w:rPr>
        <w:t xml:space="preserve">strata =</w:t>
      </w:r>
      <w:r>
        <w:rPr>
          <w:rStyle w:val="NormalTok"/>
        </w:rPr>
        <w:t xml:space="preserve"> </w:t>
      </w:r>
      <w:r>
        <w:rPr>
          <w:rStyle w:val="StringTok"/>
        </w:rPr>
        <w:t xml:space="preserve">"country"</w:t>
      </w:r>
      <w:r>
        <w:rPr>
          <w:rStyle w:val="NormalTok"/>
        </w:rPr>
        <w:t xml:space="preserve">)</w:t>
      </w:r>
      <w:r>
        <w:br/>
      </w:r>
      <w:r>
        <w:rPr>
          <w:rStyle w:val="CommentTok"/>
        </w:rPr>
        <w:t xml:space="preserve">#&gt; Warning: Removed 1105 rows containing missing values or values outside the scale range</w:t>
      </w:r>
      <w:r>
        <w:br/>
      </w:r>
      <w:r>
        <w:rPr>
          <w:rStyle w:val="CommentTok"/>
        </w:rPr>
        <w:t xml:space="preserve">#&gt; (`geom_point()`).</w:t>
      </w:r>
    </w:p>
    <w:p>
      <w:pPr>
        <w:pStyle w:val="FirstParagraph"/>
      </w:pPr>
      <w:r>
        <w:drawing>
          <wp:inline>
            <wp:extent cx="5334000" cy="3048000"/>
            <wp:effectExtent b="0" l="0" r="0" t="0"/>
            <wp:docPr descr="" title="" id="27" name="Picture"/>
            <a:graphic>
              <a:graphicData uri="http://schemas.openxmlformats.org/drawingml/2006/picture">
                <pic:pic>
                  <pic:nvPicPr>
                    <pic:cNvPr descr="scrubTyphus_example_files/figure-docx/plot-age-1.png" id="28" name="Picture"/>
                    <pic:cNvPicPr>
                      <a:picLocks noChangeArrowheads="1" noChangeAspect="1"/>
                    </pic:cNvPicPr>
                  </pic:nvPicPr>
                  <pic:blipFill>
                    <a:blip r:embed="rId26"/>
                    <a:stretch>
                      <a:fillRect/>
                    </a:stretch>
                  </pic:blipFill>
                  <pic:spPr bwMode="auto">
                    <a:xfrm>
                      <a:off x="0" y="0"/>
                      <a:ext cx="5334000" cy="3048000"/>
                    </a:xfrm>
                    <a:prstGeom prst="rect">
                      <a:avLst/>
                    </a:prstGeom>
                    <a:noFill/>
                    <a:ln w="9525">
                      <a:noFill/>
                      <a:headEnd/>
                      <a:tailEnd/>
                    </a:ln>
                  </pic:spPr>
                </pic:pic>
              </a:graphicData>
            </a:graphic>
          </wp:inline>
        </w:drawing>
      </w:r>
    </w:p>
    <w:bookmarkEnd w:id="29"/>
    <w:bookmarkEnd w:id="30"/>
    <w:bookmarkStart w:id="31" w:name="compile-noise-parameters"/>
    <w:p>
      <w:pPr>
        <w:pStyle w:val="Heading3"/>
      </w:pPr>
      <w:r>
        <w:t xml:space="preserve">3.3 Compile noise parameters</w:t>
      </w:r>
    </w:p>
    <w:p>
      <w:pPr>
        <w:pStyle w:val="FirstParagraph"/>
      </w:pPr>
      <w:r>
        <w:t xml:space="preserve">Next, we must set conditions based on some assumptions about the data and errors that may need to be accounted for. This will differ based on background knowledge of the data.</w:t>
      </w:r>
    </w:p>
    <w:p>
      <w:pPr>
        <w:pStyle w:val="BodyText"/>
      </w:pPr>
      <w:r>
        <w:t xml:space="preserve">The biological noise,</w:t>
      </w:r>
      <w:r>
        <w:t xml:space="preserve"> </w:t>
      </w:r>
      <m:oMath>
        <m:r>
          <m:t>ν</m:t>
        </m:r>
      </m:oMath>
      <w:r>
        <w:t xml:space="preserve"> </w:t>
      </w:r>
      <w:r>
        <w:t xml:space="preserve">(</w:t>
      </w:r>
      <w:r>
        <w:t xml:space="preserve">“nu”</w:t>
      </w:r>
      <w:r>
        <w:t xml:space="preserve">), represents error from cross-reactivity to other antibodies. Measurement noise,</w:t>
      </w:r>
      <w:r>
        <w:t xml:space="preserve"> </w:t>
      </w:r>
      <m:oMath>
        <m:r>
          <m:t>ε</m:t>
        </m:r>
      </m:oMath>
      <w:r>
        <w:t xml:space="preserve"> </w:t>
      </w:r>
      <w:r>
        <w:t xml:space="preserve">(</w:t>
      </w:r>
      <w:r>
        <w:t xml:space="preserve">“epsilon”</w:t>
      </w:r>
      <w:r>
        <w:t xml:space="preserve">), represents error from the laboratory testing process.</w:t>
      </w:r>
    </w:p>
    <w:p>
      <w:pPr>
        <w:pStyle w:val="BodyText"/>
      </w:pPr>
      <w:r>
        <w:rPr>
          <w:i/>
          <w:iCs/>
        </w:rPr>
        <w:t xml:space="preserve">Formatting Specifications</w:t>
      </w:r>
      <w:r>
        <w:t xml:space="preserve">: Noise parameter data should be a dataframe with one row for each antigen isotype and columns for each noise parameter below.</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Column Name</w:t>
            </w:r>
          </w:p>
        </w:tc>
        <w:tc>
          <w:tcPr/>
          <w:p>
            <w:pPr>
              <w:pStyle w:val="Compact"/>
            </w:pPr>
            <w:r>
              <w:t xml:space="preserve">Description</w:t>
            </w:r>
          </w:p>
        </w:tc>
      </w:tr>
      <w:tr>
        <w:tc>
          <w:tcPr/>
          <w:p>
            <w:pPr>
              <w:pStyle w:val="Compact"/>
            </w:pPr>
            <w:r>
              <w:t xml:space="preserve">y.low</w:t>
            </w:r>
          </w:p>
        </w:tc>
        <w:tc>
          <w:tcPr/>
          <w:p>
            <w:pPr>
              <w:pStyle w:val="Compact"/>
            </w:pPr>
            <w:r>
              <w:t xml:space="preserve">Lower limit of detection of the antibody assay</w:t>
            </w:r>
          </w:p>
        </w:tc>
      </w:tr>
      <w:tr>
        <w:tc>
          <w:tcPr/>
          <w:p>
            <w:pPr>
              <w:pStyle w:val="Compact"/>
            </w:pPr>
            <w:r>
              <w:t xml:space="preserve">nu</w:t>
            </w:r>
          </w:p>
        </w:tc>
        <w:tc>
          <w:tcPr/>
          <w:p>
            <w:pPr>
              <w:pStyle w:val="Compact"/>
            </w:pPr>
            <w:r>
              <w:t xml:space="preserve">Biologic noise</w:t>
            </w:r>
          </w:p>
        </w:tc>
      </w:tr>
      <w:tr>
        <w:tc>
          <w:tcPr/>
          <w:p>
            <w:pPr>
              <w:pStyle w:val="Compact"/>
            </w:pPr>
            <w:r>
              <w:t xml:space="preserve">y.high</w:t>
            </w:r>
          </w:p>
        </w:tc>
        <w:tc>
          <w:tcPr/>
          <w:p>
            <w:pPr>
              <w:pStyle w:val="Compact"/>
            </w:pPr>
            <w:r>
              <w:t xml:space="preserve">Upper limit of detection of the antibody assay</w:t>
            </w:r>
          </w:p>
        </w:tc>
      </w:tr>
      <w:tr>
        <w:tc>
          <w:tcPr/>
          <w:p>
            <w:pPr>
              <w:pStyle w:val="Compact"/>
            </w:pPr>
            <w:r>
              <w:t xml:space="preserve">eps</w:t>
            </w:r>
          </w:p>
        </w:tc>
        <w:tc>
          <w:tcPr/>
          <w:p>
            <w:pPr>
              <w:pStyle w:val="Compact"/>
            </w:pPr>
            <w:r>
              <w:t xml:space="preserve">Measurement noise</w:t>
            </w:r>
          </w:p>
        </w:tc>
      </w:tr>
    </w:tbl>
    <w:p>
      <w:pPr>
        <w:pStyle w:val="BodyText"/>
      </w:pPr>
      <w:r>
        <w:rPr>
          <w:i/>
          <w:iCs/>
        </w:rPr>
        <w:t xml:space="preserve">Note that variable names are case-sensitive.</w:t>
      </w:r>
    </w:p>
    <w:p>
      <w:pPr>
        <w:pStyle w:val="SourceCode"/>
      </w:pPr>
      <w:r>
        <w:rPr>
          <w:rStyle w:val="CommentTok"/>
        </w:rPr>
        <w:t xml:space="preserve"># biologic noise</w:t>
      </w:r>
      <w:r>
        <w:br/>
      </w:r>
      <w:r>
        <w:rPr>
          <w:rStyle w:val="NormalTok"/>
        </w:rPr>
        <w:t xml:space="preserve">b_noise </w:t>
      </w:r>
      <w:r>
        <w:rPr>
          <w:rStyle w:val="OtherTok"/>
        </w:rPr>
        <w:t xml:space="preserve">&lt;-</w:t>
      </w:r>
      <w:r>
        <w:rPr>
          <w:rStyle w:val="NormalTok"/>
        </w:rPr>
        <w:t xml:space="preserve"> xs_data </w:t>
      </w:r>
      <w:r>
        <w:rPr>
          <w:rStyle w:val="SpecialCharTok"/>
        </w:rPr>
        <w:t xml:space="preserve">|&gt;</w:t>
      </w:r>
      <w:r>
        <w:br/>
      </w:r>
      <w:r>
        <w:rPr>
          <w:rStyle w:val="NormalTok"/>
        </w:rPr>
        <w:t xml:space="preserve">  </w:t>
      </w:r>
      <w:r>
        <w:rPr>
          <w:rStyle w:val="FunctionTok"/>
        </w:rPr>
        <w:t xml:space="preserve">group_by</w:t>
      </w:r>
      <w:r>
        <w:rPr>
          <w:rStyle w:val="NormalTok"/>
        </w:rPr>
        <w:t xml:space="preserve">(antigen_iso) </w:t>
      </w:r>
      <w:r>
        <w:rPr>
          <w:rStyle w:val="SpecialCharTok"/>
        </w:rPr>
        <w:t xml:space="preserve">|&gt;</w:t>
      </w:r>
      <w:r>
        <w:br/>
      </w:r>
      <w:r>
        <w:rPr>
          <w:rStyle w:val="NormalTok"/>
        </w:rPr>
        <w:t xml:space="preserve">  </w:t>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(value)) </w:t>
      </w:r>
      <w:r>
        <w:rPr>
          <w:rStyle w:val="SpecialCharTok"/>
        </w:rPr>
        <w:t xml:space="preserve">|&gt;</w:t>
      </w:r>
      <w:r>
        <w:br/>
      </w:r>
      <w:r>
        <w:rPr>
          <w:rStyle w:val="NormalTok"/>
        </w:rPr>
        <w:t xml:space="preserve">  </w:t>
      </w:r>
      <w:r>
        <w:rPr>
          <w:rStyle w:val="FunctionTok"/>
        </w:rPr>
        <w:t xml:space="preserve">filter</w:t>
      </w:r>
      <w:r>
        <w:rPr>
          <w:rStyle w:val="NormalTok"/>
        </w:rPr>
        <w:t xml:space="preserve">(age </w:t>
      </w:r>
      <w:r>
        <w:rPr>
          <w:rStyle w:val="SpecialCharTok"/>
        </w:rPr>
        <w:t xml:space="preserve">&lt;</w:t>
      </w:r>
      <w:r>
        <w:rPr>
          <w:rStyle w:val="NormalTok"/>
        </w:rPr>
        <w:t xml:space="preserve"> </w:t>
      </w:r>
      <w:r>
        <w:rPr>
          <w:rStyle w:val="DecValTok"/>
        </w:rPr>
        <w:t xml:space="preserve">40</w:t>
      </w:r>
      <w:r>
        <w:rPr>
          <w:rStyle w:val="NormalTok"/>
        </w:rPr>
        <w:t xml:space="preserve">) </w:t>
      </w:r>
      <w:r>
        <w:rPr>
          <w:rStyle w:val="SpecialCharTok"/>
        </w:rPr>
        <w:t xml:space="preserve">|&gt;</w:t>
      </w:r>
      <w:r>
        <w:rPr>
          <w:rStyle w:val="NormalTok"/>
        </w:rPr>
        <w:t xml:space="preserve"> </w:t>
      </w:r>
      <w:r>
        <w:rPr>
          <w:rStyle w:val="CommentTok"/>
        </w:rPr>
        <w:t xml:space="preserve"># restrict to young ages to capture recent exposures</w:t>
      </w:r>
      <w:r>
        <w:br/>
      </w:r>
      <w:r>
        <w:rPr>
          <w:rStyle w:val="NormalTok"/>
        </w:rPr>
        <w:t xml:space="preserve">  </w:t>
      </w:r>
      <w:r>
        <w:rPr>
          <w:rStyle w:val="FunctionTok"/>
        </w:rPr>
        <w:t xml:space="preserve">do</w:t>
      </w:r>
      <w:r>
        <w:rPr>
          <w:rStyle w:val="NormalTok"/>
        </w:rPr>
        <w:t xml:space="preserve">({</w:t>
      </w:r>
      <w:r>
        <w:br/>
      </w:r>
      <w:r>
        <w:rPr>
          <w:rStyle w:val="NormalTok"/>
        </w:rPr>
        <w:t xml:space="preserve">    </w:t>
      </w:r>
      <w:r>
        <w:rPr>
          <w:rStyle w:val="FunctionTok"/>
        </w:rPr>
        <w:t xml:space="preserve">set.seed</w:t>
      </w:r>
      <w:r>
        <w:rPr>
          <w:rStyle w:val="NormalTok"/>
        </w:rPr>
        <w:t xml:space="preserve">(</w:t>
      </w:r>
      <w:r>
        <w:rPr>
          <w:rStyle w:val="DecValTok"/>
        </w:rPr>
        <w:t xml:space="preserve">54321</w:t>
      </w:r>
      <w:r>
        <w:rPr>
          <w:rStyle w:val="NormalTok"/>
        </w:rPr>
        <w:t xml:space="preserve">)</w:t>
      </w:r>
      <w:r>
        <w:br/>
      </w:r>
      <w:r>
        <w:rPr>
          <w:rStyle w:val="NormalTok"/>
        </w:rPr>
        <w:t xml:space="preserve">    </w:t>
      </w:r>
      <w:r>
        <w:rPr>
          <w:rStyle w:val="CommentTok"/>
        </w:rPr>
        <w:t xml:space="preserve"># Fit the mixture model</w:t>
      </w:r>
      <w:r>
        <w:br/>
      </w:r>
      <w:r>
        <w:rPr>
          <w:rStyle w:val="NormalTok"/>
        </w:rPr>
        <w:t xml:space="preserve">    mixmod </w:t>
      </w:r>
      <w:r>
        <w:rPr>
          <w:rStyle w:val="OtherTok"/>
        </w:rPr>
        <w:t xml:space="preserve">&lt;-</w:t>
      </w:r>
      <w:r>
        <w:rPr>
          <w:rStyle w:val="NormalTok"/>
        </w:rPr>
        <w:t xml:space="preserve"> </w:t>
      </w:r>
      <w:r>
        <w:rPr>
          <w:rStyle w:val="FunctionTok"/>
        </w:rPr>
        <w:t xml:space="preserve">normalmixEM</w:t>
      </w:r>
      <w:r>
        <w:rPr>
          <w:rStyle w:val="NormalTok"/>
        </w:rPr>
        <w:t xml:space="preserve">(.</w:t>
      </w:r>
      <w:r>
        <w:rPr>
          <w:rStyle w:val="SpecialCharTok"/>
        </w:rPr>
        <w:t xml:space="preserve">$</w:t>
      </w:r>
      <w:r>
        <w:rPr>
          <w:rStyle w:val="NormalTok"/>
        </w:rPr>
        <w:t xml:space="preserve">value, </w:t>
      </w:r>
      <w:r>
        <w:rPr>
          <w:rStyle w:val="AttributeTok"/>
        </w:rPr>
        <w:t xml:space="preserve">k =</w:t>
      </w:r>
      <w:r>
        <w:rPr>
          <w:rStyle w:val="NormalTok"/>
        </w:rPr>
        <w:t xml:space="preserve"> </w:t>
      </w:r>
      <w:r>
        <w:rPr>
          <w:rStyle w:val="DecValTok"/>
        </w:rPr>
        <w:t xml:space="preserve">2</w:t>
      </w:r>
      <w:r>
        <w:rPr>
          <w:rStyle w:val="NormalTok"/>
        </w:rPr>
        <w:t xml:space="preserve">, </w:t>
      </w:r>
      <w:r>
        <w:rPr>
          <w:rStyle w:val="AttributeTok"/>
        </w:rPr>
        <w:t xml:space="preserve">maxit =</w:t>
      </w:r>
      <w:r>
        <w:rPr>
          <w:rStyle w:val="NormalTok"/>
        </w:rPr>
        <w:t xml:space="preserve"> </w:t>
      </w:r>
      <w:r>
        <w:rPr>
          <w:rStyle w:val="DecValTok"/>
        </w:rPr>
        <w:t xml:space="preserve">1000</w:t>
      </w:r>
      <w:r>
        <w:rPr>
          <w:rStyle w:val="NormalTok"/>
        </w:rPr>
        <w:t xml:space="preserve">)</w:t>
      </w:r>
      <w:r>
        <w:br/>
      </w:r>
      <w:r>
        <w:rPr>
          <w:rStyle w:val="NormalTok"/>
        </w:rPr>
        <w:t xml:space="preserve">    </w:t>
      </w:r>
      <w:r>
        <w:rPr>
          <w:rStyle w:val="CommentTok"/>
        </w:rPr>
        <w:t xml:space="preserve"># k is the number of components, adjust as necessary</w:t>
      </w:r>
      <w:r>
        <w:br/>
      </w:r>
      <w:r>
        <w:rPr>
          <w:rStyle w:val="NormalTok"/>
        </w:rPr>
        <w:t xml:space="preserve">    </w:t>
      </w:r>
      <w:r>
        <w:rPr>
          <w:rStyle w:val="CommentTok"/>
        </w:rPr>
        <w:t xml:space="preserve"># Assuming the first component is the lower distribution:</w:t>
      </w:r>
      <w:r>
        <w:br/>
      </w:r>
      <w:r>
        <w:rPr>
          <w:rStyle w:val="NormalTok"/>
        </w:rPr>
        <w:t xml:space="preserve">    lower_mu </w:t>
      </w:r>
      <w:r>
        <w:rPr>
          <w:rStyle w:val="OtherTok"/>
        </w:rPr>
        <w:t xml:space="preserve">&lt;-</w:t>
      </w:r>
      <w:r>
        <w:rPr>
          <w:rStyle w:val="NormalTok"/>
        </w:rPr>
        <w:t xml:space="preserve"> mixmod</w:t>
      </w:r>
      <w:r>
        <w:rPr>
          <w:rStyle w:val="SpecialCharTok"/>
        </w:rPr>
        <w:t xml:space="preserve">$</w:t>
      </w:r>
      <w:r>
        <w:rPr>
          <w:rStyle w:val="NormalTok"/>
        </w:rPr>
        <w:t xml:space="preserve">mu[</w:t>
      </w:r>
      <w:r>
        <w:rPr>
          <w:rStyle w:val="DecValTok"/>
        </w:rPr>
        <w:t xml:space="preserve">1</w:t>
      </w:r>
      <w:r>
        <w:rPr>
          <w:rStyle w:val="NormalTok"/>
        </w:rPr>
        <w:t xml:space="preserve">]</w:t>
      </w:r>
      <w:r>
        <w:br/>
      </w:r>
      <w:r>
        <w:rPr>
          <w:rStyle w:val="NormalTok"/>
        </w:rPr>
        <w:t xml:space="preserve">    lower_sigma </w:t>
      </w:r>
      <w:r>
        <w:rPr>
          <w:rStyle w:val="OtherTok"/>
        </w:rPr>
        <w:t xml:space="preserve">&lt;-</w:t>
      </w:r>
      <w:r>
        <w:rPr>
          <w:rStyle w:val="NormalTok"/>
        </w:rPr>
        <w:t xml:space="preserve"> </w:t>
      </w:r>
      <w:r>
        <w:rPr>
          <w:rStyle w:val="FunctionTok"/>
        </w:rPr>
        <w:t xml:space="preserve">sqrt</w:t>
      </w:r>
      <w:r>
        <w:rPr>
          <w:rStyle w:val="NormalTok"/>
        </w:rPr>
        <w:t xml:space="preserve">(mixmod</w:t>
      </w:r>
      <w:r>
        <w:rPr>
          <w:rStyle w:val="SpecialCharTok"/>
        </w:rPr>
        <w:t xml:space="preserve">$</w:t>
      </w:r>
      <w:r>
        <w:rPr>
          <w:rStyle w:val="NormalTok"/>
        </w:rPr>
        <w:t xml:space="preserve">sigma[</w:t>
      </w:r>
      <w:r>
        <w:rPr>
          <w:rStyle w:val="DecValTok"/>
        </w:rPr>
        <w:t xml:space="preserve">1</w:t>
      </w:r>
      <w:r>
        <w:rPr>
          <w:rStyle w:val="NormalTok"/>
        </w:rPr>
        <w:t xml:space="preserve">])</w:t>
      </w:r>
      <w:r>
        <w:br/>
      </w:r>
      <w:r>
        <w:rPr>
          <w:rStyle w:val="NormalTok"/>
        </w:rPr>
        <w:t xml:space="preserve">    </w:t>
      </w:r>
      <w:r>
        <w:rPr>
          <w:rStyle w:val="CommentTok"/>
        </w:rPr>
        <w:t xml:space="preserve"># Calculate the 90th percentile of the lower distribution</w:t>
      </w:r>
      <w:r>
        <w:br/>
      </w:r>
      <w:r>
        <w:rPr>
          <w:rStyle w:val="NormalTok"/>
        </w:rPr>
        <w:t xml:space="preserve">    percentile75 </w:t>
      </w:r>
      <w:r>
        <w:rPr>
          <w:rStyle w:val="OtherTok"/>
        </w:rPr>
        <w:t xml:space="preserve">&lt;-</w:t>
      </w:r>
      <w:r>
        <w:rPr>
          <w:rStyle w:val="NormalTok"/>
        </w:rPr>
        <w:t xml:space="preserve"> </w:t>
      </w:r>
      <w:r>
        <w:rPr>
          <w:rStyle w:val="FunctionTok"/>
        </w:rPr>
        <w:t xml:space="preserve">qnorm</w:t>
      </w:r>
      <w:r>
        <w:rPr>
          <w:rStyle w:val="NormalTok"/>
        </w:rPr>
        <w:t xml:space="preserve">(</w:t>
      </w:r>
      <w:r>
        <w:br/>
      </w:r>
      <w:r>
        <w:rPr>
          <w:rStyle w:val="NormalTok"/>
        </w:rPr>
        <w:t xml:space="preserve">      </w:t>
      </w:r>
      <w:r>
        <w:rPr>
          <w:rStyle w:val="FloatTok"/>
        </w:rPr>
        <w:t xml:space="preserve">0.75</w:t>
      </w:r>
      <w:r>
        <w:rPr>
          <w:rStyle w:val="NormalTok"/>
        </w:rPr>
        <w:t xml:space="preserve">,</w:t>
      </w:r>
      <w:r>
        <w:br/>
      </w:r>
      <w:r>
        <w:rPr>
          <w:rStyle w:val="NormalTok"/>
        </w:rPr>
        <w:t xml:space="preserve">      lower_mu,</w:t>
      </w:r>
      <w:r>
        <w:br/>
      </w:r>
      <w:r>
        <w:rPr>
          <w:rStyle w:val="NormalTok"/>
        </w:rPr>
        <w:t xml:space="preserve">      lower_sigma</w:t>
      </w:r>
      <w:r>
        <w:br/>
      </w:r>
      <w:r>
        <w:rPr>
          <w:rStyle w:val="NormalTok"/>
        </w:rPr>
        <w:t xml:space="preserve">    )</w:t>
      </w:r>
      <w:r>
        <w:br/>
      </w:r>
      <w:r>
        <w:rPr>
          <w:rStyle w:val="NormalTok"/>
        </w:rPr>
        <w:t xml:space="preserve">    </w:t>
      </w:r>
      <w:r>
        <w:rPr>
          <w:rStyle w:val="CommentTok"/>
        </w:rPr>
        <w:t xml:space="preserve"># Return the results</w:t>
      </w:r>
      <w:r>
        <w:br/>
      </w:r>
      <w:r>
        <w:rPr>
          <w:rStyle w:val="NormalTok"/>
        </w:rPr>
        <w:t xml:space="preserve">    </w:t>
      </w:r>
      <w:r>
        <w:rPr>
          <w:rStyle w:val="FunctionTok"/>
        </w:rPr>
        <w:t xml:space="preserve">data.frame</w:t>
      </w:r>
      <w:r>
        <w:rPr>
          <w:rStyle w:val="NormalTok"/>
        </w:rPr>
        <w:t xml:space="preserve">(</w:t>
      </w:r>
      <w:r>
        <w:rPr>
          <w:rStyle w:val="AttributeTok"/>
        </w:rPr>
        <w:t xml:space="preserve">antigen_iso =</w:t>
      </w:r>
      <w:r>
        <w:rPr>
          <w:rStyle w:val="NormalTok"/>
        </w:rPr>
        <w:t xml:space="preserve"> .</w:t>
      </w:r>
      <w:r>
        <w:rPr>
          <w:rStyle w:val="SpecialCharTok"/>
        </w:rPr>
        <w:t xml:space="preserve">$</w:t>
      </w:r>
      <w:r>
        <w:rPr>
          <w:rStyle w:val="NormalTok"/>
        </w:rPr>
        <w:t xml:space="preserve">antigen_iso[</w:t>
      </w:r>
      <w:r>
        <w:rPr>
          <w:rStyle w:val="DecValTok"/>
        </w:rPr>
        <w:t xml:space="preserve">1</w:t>
      </w:r>
      <w:r>
        <w:rPr>
          <w:rStyle w:val="NormalTok"/>
        </w:rPr>
        <w:t xml:space="preserve">],</w:t>
      </w:r>
      <w:r>
        <w:br/>
      </w:r>
      <w:r>
        <w:rPr>
          <w:rStyle w:val="NormalTok"/>
        </w:rPr>
        <w:t xml:space="preserve">               </w:t>
      </w:r>
      <w:r>
        <w:rPr>
          <w:rStyle w:val="AttributeTok"/>
        </w:rPr>
        <w:t xml:space="preserve">percentile75 =</w:t>
      </w:r>
      <w:r>
        <w:rPr>
          <w:rStyle w:val="NormalTok"/>
        </w:rPr>
        <w:t xml:space="preserve"> percentile75)</w:t>
      </w:r>
      <w:r>
        <w:br/>
      </w:r>
      <w:r>
        <w:rPr>
          <w:rStyle w:val="NormalTok"/>
        </w:rPr>
        <w:t xml:space="preserve">  })</w:t>
      </w:r>
      <w:r>
        <w:br/>
      </w:r>
      <w:r>
        <w:rPr>
          <w:rStyle w:val="CommentTok"/>
        </w:rPr>
        <w:t xml:space="preserve">#&gt; number of iterations= 35 </w:t>
      </w:r>
      <w:r>
        <w:br/>
      </w:r>
      <w:r>
        <w:rPr>
          <w:rStyle w:val="CommentTok"/>
        </w:rPr>
        <w:t xml:space="preserve">#&gt; number of iterations= 24</w:t>
      </w:r>
      <w:r>
        <w:br/>
      </w:r>
      <w:r>
        <w:br/>
      </w:r>
      <w:r>
        <w:br/>
      </w:r>
      <w:r>
        <w:br/>
      </w:r>
      <w:r>
        <w:rPr>
          <w:rStyle w:val="CommentTok"/>
        </w:rPr>
        <w:t xml:space="preserve"># define conditional parameters</w:t>
      </w:r>
      <w:r>
        <w:br/>
      </w:r>
      <w:r>
        <w:rPr>
          <w:rStyle w:val="NormalTok"/>
        </w:rPr>
        <w:t xml:space="preserve">noise </w:t>
      </w:r>
      <w:r>
        <w:rPr>
          <w:rStyle w:val="OtherTok"/>
        </w:rPr>
        <w:t xml:space="preserve">&lt;-</w:t>
      </w:r>
      <w:r>
        <w:rPr>
          <w:rStyle w:val="NormalTok"/>
        </w:rPr>
        <w:t xml:space="preserve"> </w:t>
      </w:r>
      <w:r>
        <w:rPr>
          <w:rStyle w:val="FunctionTok"/>
        </w:rPr>
        <w:t xml:space="preserve">data.frame</w:t>
      </w:r>
      <w:r>
        <w:rPr>
          <w:rStyle w:val="NormalTok"/>
        </w:rPr>
        <w:t xml:space="preserve">(</w:t>
      </w:r>
      <w:r>
        <w:br/>
      </w:r>
      <w:r>
        <w:rPr>
          <w:rStyle w:val="NormalTok"/>
        </w:rPr>
        <w:t xml:space="preserve">  </w:t>
      </w:r>
      <w:r>
        <w:rPr>
          <w:rStyle w:val="AttributeTok"/>
        </w:rPr>
        <w:t xml:space="preserve">antigen_iso =</w:t>
      </w:r>
      <w:r>
        <w:rPr>
          <w:rStyle w:val="NormalTok"/>
        </w:rPr>
        <w:t xml:space="preserve"> </w:t>
      </w:r>
      <w:r>
        <w:rPr>
          <w:rStyle w:val="FunctionTok"/>
        </w:rPr>
        <w:t xml:space="preserve">c</w:t>
      </w:r>
      <w:r>
        <w:rPr>
          <w:rStyle w:val="NormalTok"/>
        </w:rPr>
        <w:t xml:space="preserve">(</w:t>
      </w:r>
      <w:r>
        <w:rPr>
          <w:rStyle w:val="StringTok"/>
        </w:rPr>
        <w:t xml:space="preserve">"OT56kda_IgG"</w:t>
      </w:r>
      <w:r>
        <w:rPr>
          <w:rStyle w:val="NormalTok"/>
        </w:rPr>
        <w:t xml:space="preserve">, </w:t>
      </w:r>
      <w:r>
        <w:rPr>
          <w:rStyle w:val="StringTok"/>
        </w:rPr>
        <w:t xml:space="preserve">"OT56kda_IgM"</w:t>
      </w:r>
      <w:r>
        <w:rPr>
          <w:rStyle w:val="NormalTok"/>
        </w:rPr>
        <w:t xml:space="preserve">),</w:t>
      </w:r>
      <w:r>
        <w:br/>
      </w:r>
      <w:r>
        <w:rPr>
          <w:rStyle w:val="NormalTok"/>
        </w:rPr>
        <w:t xml:space="preserve">  </w:t>
      </w:r>
      <w:r>
        <w:rPr>
          <w:rStyle w:val="AttributeTok"/>
        </w:rPr>
        <w:t xml:space="preserve">nu =</w:t>
      </w:r>
      <w:r>
        <w:rPr>
          <w:rStyle w:val="NormalTok"/>
        </w:rPr>
        <w:t xml:space="preserve"> </w:t>
      </w:r>
      <w:r>
        <w:rPr>
          <w:rStyle w:val="FunctionTok"/>
        </w:rPr>
        <w:t xml:space="preserve">as.numeric</w:t>
      </w:r>
      <w:r>
        <w:rPr>
          <w:rStyle w:val="NormalTok"/>
        </w:rPr>
        <w:t xml:space="preserve">(</w:t>
      </w:r>
      <w:r>
        <w:rPr>
          <w:rStyle w:val="FunctionTok"/>
        </w:rPr>
        <w:t xml:space="preserve">c</w:t>
      </w:r>
      <w:r>
        <w:rPr>
          <w:rStyle w:val="NormalTok"/>
        </w:rPr>
        <w:t xml:space="preserve">(b_noise[</w:t>
      </w:r>
      <w:r>
        <w:rPr>
          <w:rStyle w:val="DecValTok"/>
        </w:rPr>
        <w:t xml:space="preserve">2</w:t>
      </w:r>
      <w:r>
        <w:rPr>
          <w:rStyle w:val="NormalTok"/>
        </w:rPr>
        <w:t xml:space="preserve">, </w:t>
      </w:r>
      <w:r>
        <w:rPr>
          <w:rStyle w:val="DecValTok"/>
        </w:rPr>
        <w:t xml:space="preserve">2</w:t>
      </w:r>
      <w:r>
        <w:rPr>
          <w:rStyle w:val="NormalTok"/>
        </w:rPr>
        <w:t xml:space="preserve">], b_noise[</w:t>
      </w:r>
      <w:r>
        <w:rPr>
          <w:rStyle w:val="DecValTok"/>
        </w:rPr>
        <w:t xml:space="preserve">1</w:t>
      </w:r>
      <w:r>
        <w:rPr>
          <w:rStyle w:val="NormalTok"/>
        </w:rPr>
        <w:t xml:space="preserve">, </w:t>
      </w:r>
      <w:r>
        <w:rPr>
          <w:rStyle w:val="DecValTok"/>
        </w:rPr>
        <w:t xml:space="preserve">2</w:t>
      </w:r>
      <w:r>
        <w:rPr>
          <w:rStyle w:val="NormalTok"/>
        </w:rPr>
        <w:t xml:space="preserve">])), </w:t>
      </w:r>
      <w:r>
        <w:rPr>
          <w:rStyle w:val="CommentTok"/>
        </w:rPr>
        <w:t xml:space="preserve"># Biologic noise (nu)</w:t>
      </w:r>
      <w:r>
        <w:br/>
      </w:r>
      <w:r>
        <w:rPr>
          <w:rStyle w:val="NormalTok"/>
        </w:rPr>
        <w:t xml:space="preserve">  </w:t>
      </w:r>
      <w:r>
        <w:rPr>
          <w:rStyle w:val="AttributeTok"/>
        </w:rPr>
        <w:t xml:space="preserve">eps =</w:t>
      </w:r>
      <w:r>
        <w:rPr>
          <w:rStyle w:val="NormalTok"/>
        </w:rPr>
        <w:t xml:space="preserve"> </w:t>
      </w:r>
      <w:r>
        <w:rPr>
          <w:rStyle w:val="FunctionTok"/>
        </w:rPr>
        <w:t xml:space="preserve">c</w:t>
      </w:r>
      <w:r>
        <w:rPr>
          <w:rStyle w:val="NormalTok"/>
        </w:rPr>
        <w:t xml:space="preserve">(</w:t>
      </w:r>
      <w:r>
        <w:rPr>
          <w:rStyle w:val="FloatTok"/>
        </w:rPr>
        <w:t xml:space="preserve">0.2</w:t>
      </w:r>
      <w:r>
        <w:rPr>
          <w:rStyle w:val="NormalTok"/>
        </w:rPr>
        <w:t xml:space="preserve">, </w:t>
      </w:r>
      <w:r>
        <w:rPr>
          <w:rStyle w:val="FloatTok"/>
        </w:rPr>
        <w:t xml:space="preserve">0.2</w:t>
      </w:r>
      <w:r>
        <w:rPr>
          <w:rStyle w:val="NormalTok"/>
        </w:rPr>
        <w:t xml:space="preserve">), </w:t>
      </w:r>
      <w:r>
        <w:rPr>
          <w:rStyle w:val="CommentTok"/>
        </w:rPr>
        <w:t xml:space="preserve"># M noise (eps)</w:t>
      </w:r>
      <w:r>
        <w:br/>
      </w:r>
      <w:r>
        <w:rPr>
          <w:rStyle w:val="NormalTok"/>
        </w:rPr>
        <w:t xml:space="preserve">  </w:t>
      </w:r>
      <w:r>
        <w:rPr>
          <w:rStyle w:val="AttributeTok"/>
        </w:rPr>
        <w:t xml:space="preserve">y.low =</w:t>
      </w:r>
      <w:r>
        <w:rPr>
          <w:rStyle w:val="NormalTok"/>
        </w:rPr>
        <w:t xml:space="preserve"> </w:t>
      </w:r>
      <w:r>
        <w:rPr>
          <w:rStyle w:val="FunctionTok"/>
        </w:rPr>
        <w:t xml:space="preserve">c</w:t>
      </w:r>
      <w:r>
        <w:rPr>
          <w:rStyle w:val="NormalTok"/>
        </w:rPr>
        <w:t xml:space="preserve">(</w:t>
      </w:r>
      <w:r>
        <w:rPr>
          <w:rStyle w:val="FloatTok"/>
        </w:rPr>
        <w:t xml:space="preserve">0.2</w:t>
      </w:r>
      <w:r>
        <w:rPr>
          <w:rStyle w:val="NormalTok"/>
        </w:rPr>
        <w:t xml:space="preserve">, </w:t>
      </w:r>
      <w:r>
        <w:rPr>
          <w:rStyle w:val="FloatTok"/>
        </w:rPr>
        <w:t xml:space="preserve">0.2</w:t>
      </w:r>
      <w:r>
        <w:rPr>
          <w:rStyle w:val="NormalTok"/>
        </w:rPr>
        <w:t xml:space="preserve">), </w:t>
      </w:r>
      <w:r>
        <w:rPr>
          <w:rStyle w:val="CommentTok"/>
        </w:rPr>
        <w:t xml:space="preserve"># low cutoff (llod)</w:t>
      </w:r>
      <w:r>
        <w:br/>
      </w:r>
      <w:r>
        <w:rPr>
          <w:rStyle w:val="NormalTok"/>
        </w:rPr>
        <w:t xml:space="preserve">  </w:t>
      </w:r>
      <w:r>
        <w:rPr>
          <w:rStyle w:val="AttributeTok"/>
        </w:rPr>
        <w:t xml:space="preserve">y.high =</w:t>
      </w:r>
      <w:r>
        <w:rPr>
          <w:rStyle w:val="NormalTok"/>
        </w:rPr>
        <w:t xml:space="preserve"> </w:t>
      </w:r>
      <w:r>
        <w:rPr>
          <w:rStyle w:val="FunctionTok"/>
        </w:rPr>
        <w:t xml:space="preserve">c</w:t>
      </w:r>
      <w:r>
        <w:rPr>
          <w:rStyle w:val="NormalTok"/>
        </w:rPr>
        <w:t xml:space="preserve">(</w:t>
      </w:r>
      <w:r>
        <w:rPr>
          <w:rStyle w:val="DecValTok"/>
        </w:rPr>
        <w:t xml:space="preserve">200</w:t>
      </w:r>
      <w:r>
        <w:rPr>
          <w:rStyle w:val="NormalTok"/>
        </w:rPr>
        <w:t xml:space="preserve">, </w:t>
      </w:r>
      <w:r>
        <w:rPr>
          <w:rStyle w:val="DecValTok"/>
        </w:rPr>
        <w:t xml:space="preserve">200</w:t>
      </w:r>
      <w:r>
        <w:rPr>
          <w:rStyle w:val="NormalTok"/>
        </w:rPr>
        <w:t xml:space="preserve">)</w:t>
      </w:r>
      <w:r>
        <w:br/>
      </w:r>
      <w:r>
        <w:rPr>
          <w:rStyle w:val="NormalTok"/>
        </w:rPr>
        <w:t xml:space="preserve">) </w:t>
      </w:r>
      <w:r>
        <w:rPr>
          <w:rStyle w:val="SpecialCharTok"/>
        </w:rPr>
        <w:t xml:space="preserve">|&gt;</w:t>
      </w:r>
      <w:r>
        <w:rPr>
          <w:rStyle w:val="NormalTok"/>
        </w:rPr>
        <w:t xml:space="preserve"> </w:t>
      </w:r>
      <w:r>
        <w:rPr>
          <w:rStyle w:val="CommentTok"/>
        </w:rPr>
        <w:t xml:space="preserve"># high cutoff (y.high)</w:t>
      </w:r>
      <w:r>
        <w:br/>
      </w:r>
      <w:r>
        <w:rPr>
          <w:rStyle w:val="NormalTok"/>
        </w:rPr>
        <w:t xml:space="preserve">  </w:t>
      </w:r>
      <w:r>
        <w:rPr>
          <w:rStyle w:val="FunctionTok"/>
        </w:rPr>
        <w:t xml:space="preserve">mutate</w:t>
      </w:r>
      <w:r>
        <w:rPr>
          <w:rStyle w:val="NormalTok"/>
        </w:rPr>
        <w:t xml:space="preserve">(</w:t>
      </w:r>
      <w:r>
        <w:rPr>
          <w:rStyle w:val="FunctionTok"/>
        </w:rPr>
        <w:t xml:space="preserve">across</w:t>
      </w:r>
      <w:r>
        <w:rPr>
          <w:rStyle w:val="NormalTok"/>
        </w:rPr>
        <w:t xml:space="preserve">(</w:t>
      </w:r>
      <w:r>
        <w:rPr>
          <w:rStyle w:val="FunctionTok"/>
        </w:rPr>
        <w:t xml:space="preserve">where</w:t>
      </w:r>
      <w:r>
        <w:rPr>
          <w:rStyle w:val="NormalTok"/>
        </w:rPr>
        <w:t xml:space="preserve">(is.numeric), round, </w:t>
      </w:r>
      <w:r>
        <w:rPr>
          <w:rStyle w:val="AttributeTok"/>
        </w:rPr>
        <w:t xml:space="preserve">digits =</w:t>
      </w:r>
      <w:r>
        <w:rPr>
          <w:rStyle w:val="NormalTok"/>
        </w:rPr>
        <w:t xml:space="preserve"> </w:t>
      </w:r>
      <w:r>
        <w:rPr>
          <w:rStyle w:val="DecValTok"/>
        </w:rPr>
        <w:t xml:space="preserve">2</w:t>
      </w:r>
      <w:r>
        <w:rPr>
          <w:rStyle w:val="NormalTok"/>
        </w:rPr>
        <w:t xml:space="preserve">))</w:t>
      </w:r>
    </w:p>
    <w:bookmarkEnd w:id="31"/>
    <w:bookmarkEnd w:id="32"/>
    <w:bookmarkStart w:id="33" w:name="estimate-seroincidence-by-study-site"/>
    <w:p>
      <w:pPr>
        <w:pStyle w:val="Heading2"/>
      </w:pPr>
      <w:r>
        <w:t xml:space="preserve">4 Estimate Seroincidence by study site</w:t>
      </w:r>
    </w:p>
    <w:p>
      <w:pPr>
        <w:pStyle w:val="FirstParagraph"/>
      </w:pPr>
      <w:r>
        <w:t xml:space="preserve">Now we are ready to begin estimating seroincidence. We will use</w:t>
      </w:r>
      <w:r>
        <w:t xml:space="preserve"> </w:t>
      </w:r>
      <w:r>
        <w:rPr>
          <w:rStyle w:val="VerbatimChar"/>
        </w:rPr>
        <w:t xml:space="preserve">est.incidence.by</w:t>
      </w:r>
      <w:r>
        <w:t xml:space="preserve"> </w:t>
      </w:r>
      <w:r>
        <w:t xml:space="preserve">to calculate stratified seroincidence rates.</w:t>
      </w:r>
    </w:p>
    <w:p>
      <w:pPr>
        <w:pStyle w:val="SourceCode"/>
      </w:pPr>
      <w:r>
        <w:rPr>
          <w:rStyle w:val="CommentTok"/>
        </w:rPr>
        <w:t xml:space="preserve"># Using est.incidence.by (strata)</w:t>
      </w:r>
      <w:r>
        <w:br/>
      </w:r>
      <w:r>
        <w:br/>
      </w:r>
      <w:r>
        <w:rPr>
          <w:rStyle w:val="NormalTok"/>
        </w:rPr>
        <w:t xml:space="preserve">est </w:t>
      </w:r>
      <w:r>
        <w:rPr>
          <w:rStyle w:val="OtherTok"/>
        </w:rPr>
        <w:t xml:space="preserve">&lt;-</w:t>
      </w:r>
      <w:r>
        <w:rPr>
          <w:rStyle w:val="NormalTok"/>
        </w:rPr>
        <w:t xml:space="preserve"> </w:t>
      </w:r>
      <w:r>
        <w:rPr>
          <w:rStyle w:val="FunctionTok"/>
        </w:rPr>
        <w:t xml:space="preserve">est_seroincidence_by</w:t>
      </w:r>
      <w:r>
        <w:rPr>
          <w:rStyle w:val="NormalTok"/>
        </w:rPr>
        <w:t xml:space="preserve">(</w:t>
      </w:r>
      <w:r>
        <w:br/>
      </w:r>
      <w:r>
        <w:rPr>
          <w:rStyle w:val="NormalTok"/>
        </w:rPr>
        <w:t xml:space="preserve">  </w:t>
      </w:r>
      <w:r>
        <w:rPr>
          <w:rStyle w:val="AttributeTok"/>
        </w:rPr>
        <w:t xml:space="preserve">strata =</w:t>
      </w:r>
      <w:r>
        <w:rPr>
          <w:rStyle w:val="NormalTok"/>
        </w:rPr>
        <w:t xml:space="preserve"> </w:t>
      </w:r>
      <w:r>
        <w:rPr>
          <w:rStyle w:val="FunctionTok"/>
        </w:rPr>
        <w:t xml:space="preserve">c</w:t>
      </w:r>
      <w:r>
        <w:rPr>
          <w:rStyle w:val="NormalTok"/>
        </w:rPr>
        <w:t xml:space="preserve">(</w:t>
      </w:r>
      <w:r>
        <w:rPr>
          <w:rStyle w:val="StringTok"/>
        </w:rPr>
        <w:t xml:space="preserve">"country"</w:t>
      </w:r>
      <w:r>
        <w:rPr>
          <w:rStyle w:val="NormalTok"/>
        </w:rPr>
        <w:t xml:space="preserve">),</w:t>
      </w:r>
      <w:r>
        <w:br/>
      </w:r>
      <w:r>
        <w:rPr>
          <w:rStyle w:val="NormalTok"/>
        </w:rPr>
        <w:t xml:space="preserve">  </w:t>
      </w:r>
      <w:r>
        <w:rPr>
          <w:rStyle w:val="AttributeTok"/>
        </w:rPr>
        <w:t xml:space="preserve">pop_data =</w:t>
      </w:r>
      <w:r>
        <w:rPr>
          <w:rStyle w:val="NormalTok"/>
        </w:rPr>
        <w:t xml:space="preserve"> xs_data,</w:t>
      </w:r>
      <w:r>
        <w:br/>
      </w:r>
      <w:r>
        <w:rPr>
          <w:rStyle w:val="NormalTok"/>
        </w:rPr>
        <w:t xml:space="preserve">  </w:t>
      </w:r>
      <w:r>
        <w:rPr>
          <w:rStyle w:val="AttributeTok"/>
        </w:rPr>
        <w:t xml:space="preserve">sr_params =</w:t>
      </w:r>
      <w:r>
        <w:rPr>
          <w:rStyle w:val="NormalTok"/>
        </w:rPr>
        <w:t xml:space="preserve"> curves,</w:t>
      </w:r>
      <w:r>
        <w:br/>
      </w:r>
      <w:r>
        <w:rPr>
          <w:rStyle w:val="NormalTok"/>
        </w:rPr>
        <w:t xml:space="preserve">  </w:t>
      </w:r>
      <w:r>
        <w:rPr>
          <w:rStyle w:val="AttributeTok"/>
        </w:rPr>
        <w:t xml:space="preserve">noise_params =</w:t>
      </w:r>
      <w:r>
        <w:rPr>
          <w:rStyle w:val="NormalTok"/>
        </w:rPr>
        <w:t xml:space="preserve"> noise,</w:t>
      </w:r>
      <w:r>
        <w:br/>
      </w:r>
      <w:r>
        <w:rPr>
          <w:rStyle w:val="NormalTok"/>
        </w:rPr>
        <w:t xml:space="preserve">  </w:t>
      </w:r>
      <w:r>
        <w:rPr>
          <w:rStyle w:val="AttributeTok"/>
        </w:rPr>
        <w:t xml:space="preserve">antigen_isos =</w:t>
      </w:r>
      <w:r>
        <w:rPr>
          <w:rStyle w:val="NormalTok"/>
        </w:rPr>
        <w:t xml:space="preserve"> </w:t>
      </w:r>
      <w:r>
        <w:rPr>
          <w:rStyle w:val="FunctionTok"/>
        </w:rPr>
        <w:t xml:space="preserve">c</w:t>
      </w:r>
      <w:r>
        <w:rPr>
          <w:rStyle w:val="NormalTok"/>
        </w:rPr>
        <w:t xml:space="preserve">(</w:t>
      </w:r>
      <w:r>
        <w:rPr>
          <w:rStyle w:val="StringTok"/>
        </w:rPr>
        <w:t xml:space="preserve">"OT56kda_IgG"</w:t>
      </w:r>
      <w:r>
        <w:rPr>
          <w:rStyle w:val="NormalTok"/>
        </w:rPr>
        <w:t xml:space="preserve">),</w:t>
      </w:r>
      <w:r>
        <w:br/>
      </w:r>
      <w:r>
        <w:rPr>
          <w:rStyle w:val="NormalTok"/>
        </w:rPr>
        <w:t xml:space="preserve">  </w:t>
      </w:r>
      <w:r>
        <w:rPr>
          <w:rStyle w:val="AttributeTok"/>
        </w:rPr>
        <w:t xml:space="preserve">num_cores =</w:t>
      </w:r>
      <w:r>
        <w:rPr>
          <w:rStyle w:val="NormalTok"/>
        </w:rPr>
        <w:t xml:space="preserve"> </w:t>
      </w:r>
      <w:r>
        <w:rPr>
          <w:rStyle w:val="DecValTok"/>
        </w:rPr>
        <w:t xml:space="preserve">8</w:t>
      </w:r>
      <w:r>
        <w:rPr>
          <w:rStyle w:val="NormalTok"/>
        </w:rPr>
        <w:t xml:space="preserve"> </w:t>
      </w:r>
      <w:r>
        <w:rPr>
          <w:rStyle w:val="CommentTok"/>
        </w:rPr>
        <w:t xml:space="preserve"># Allow for parallel processing to decrease run time</w:t>
      </w:r>
      <w:r>
        <w:br/>
      </w:r>
      <w:r>
        <w:rPr>
          <w:rStyle w:val="NormalTok"/>
        </w:rPr>
        <w:t xml:space="preserve">)</w:t>
      </w:r>
      <w:r>
        <w:br/>
      </w:r>
      <w:r>
        <w:rPr>
          <w:rStyle w:val="CommentTok"/>
        </w:rPr>
        <w:t xml:space="preserve">#&gt; Warning: `curve_params` is missing all strata variables and will be used unstratified.</w:t>
      </w:r>
      <w:r>
        <w:br/>
      </w:r>
      <w:r>
        <w:rPr>
          <w:rStyle w:val="CommentTok"/>
        </w:rPr>
        <w:t xml:space="preserve">#&gt; ℹ To avoid this warning, specify the desired set of stratifying variables in</w:t>
      </w:r>
      <w:r>
        <w:br/>
      </w:r>
      <w:r>
        <w:rPr>
          <w:rStyle w:val="CommentTok"/>
        </w:rPr>
        <w:t xml:space="preserve">#&gt;   the `curve_strata_varnames` and `noise_strata_varnames` arguments to</w:t>
      </w:r>
      <w:r>
        <w:br/>
      </w:r>
      <w:r>
        <w:rPr>
          <w:rStyle w:val="CommentTok"/>
        </w:rPr>
        <w:t xml:space="preserve">#&gt;   `est_seroincidence_by()`.</w:t>
      </w:r>
      <w:r>
        <w:br/>
      </w:r>
      <w:r>
        <w:rPr>
          <w:rStyle w:val="CommentTok"/>
        </w:rPr>
        <w:t xml:space="preserve">#&gt; Warning: `noise_params` is missing all strata variables and will be used unstratified.</w:t>
      </w:r>
      <w:r>
        <w:br/>
      </w:r>
      <w:r>
        <w:rPr>
          <w:rStyle w:val="CommentTok"/>
        </w:rPr>
        <w:t xml:space="preserve">#&gt; ℹ To avoid this warning, specify the desired set of stratifying variables in</w:t>
      </w:r>
      <w:r>
        <w:br/>
      </w:r>
      <w:r>
        <w:rPr>
          <w:rStyle w:val="CommentTok"/>
        </w:rPr>
        <w:t xml:space="preserve">#&gt;   the `curve_strata_varnames` and `noise_strata_varnames` arguments to</w:t>
      </w:r>
      <w:r>
        <w:br/>
      </w:r>
      <w:r>
        <w:rPr>
          <w:rStyle w:val="CommentTok"/>
        </w:rPr>
        <w:t xml:space="preserve">#&gt;   `est_seroincidence_by()`.</w:t>
      </w:r>
      <w:r>
        <w:br/>
      </w:r>
      <w:r>
        <w:br/>
      </w:r>
      <w:r>
        <w:rPr>
          <w:rStyle w:val="FunctionTok"/>
        </w:rPr>
        <w:t xml:space="preserve">summary</w:t>
      </w:r>
      <w:r>
        <w:rPr>
          <w:rStyle w:val="NormalTok"/>
        </w:rPr>
        <w:t xml:space="preserve">(est)</w:t>
      </w:r>
      <w:r>
        <w:br/>
      </w:r>
      <w:r>
        <w:rPr>
          <w:rStyle w:val="CommentTok"/>
        </w:rPr>
        <w:t xml:space="preserve">#&gt; Seroincidence estimated given the following setup:</w:t>
      </w:r>
      <w:r>
        <w:br/>
      </w:r>
      <w:r>
        <w:rPr>
          <w:rStyle w:val="CommentTok"/>
        </w:rPr>
        <w:t xml:space="preserve">#&gt; a) Antigen isotypes   : OT56kda_IgG </w:t>
      </w:r>
      <w:r>
        <w:br/>
      </w:r>
      <w:r>
        <w:rPr>
          <w:rStyle w:val="CommentTok"/>
        </w:rPr>
        <w:t xml:space="preserve">#&gt; b) Strata       : country </w:t>
      </w:r>
      <w:r>
        <w:br/>
      </w:r>
      <w:r>
        <w:rPr>
          <w:rStyle w:val="CommentTok"/>
        </w:rPr>
        <w:t xml:space="preserve">#&gt; </w:t>
      </w:r>
      <w:r>
        <w:br/>
      </w:r>
      <w:r>
        <w:rPr>
          <w:rStyle w:val="CommentTok"/>
        </w:rPr>
        <w:t xml:space="preserve">#&gt;  Seroincidence estimates:</w:t>
      </w:r>
      <w:r>
        <w:br/>
      </w:r>
      <w:r>
        <w:rPr>
          <w:rStyle w:val="CommentTok"/>
        </w:rPr>
        <w:t xml:space="preserve">#&gt; # A tibble: 2 × 14</w:t>
      </w:r>
      <w:r>
        <w:br/>
      </w:r>
      <w:r>
        <w:rPr>
          <w:rStyle w:val="CommentTok"/>
        </w:rPr>
        <w:t xml:space="preserve">#&gt;   Stratum  country     n est.start incidence.rate      SE  CI.lwr CI.upr se_type</w:t>
      </w:r>
      <w:r>
        <w:br/>
      </w:r>
      <w:r>
        <w:rPr>
          <w:rStyle w:val="CommentTok"/>
        </w:rPr>
        <w:t xml:space="preserve">#&gt;   &lt;chr&gt;    &lt;fct&gt;   &lt;int&gt;     &lt;dbl&gt;          &lt;dbl&gt;   &lt;dbl&gt;   &lt;dbl&gt;  &lt;dbl&gt; &lt;chr&gt;  </w:t>
      </w:r>
      <w:r>
        <w:br/>
      </w:r>
      <w:r>
        <w:rPr>
          <w:rStyle w:val="CommentTok"/>
        </w:rPr>
        <w:t xml:space="preserve">#&gt; 1 Stratum… India     721       0.1        0.0202  0.00148 0.0175  0.0233 standa…</w:t>
      </w:r>
      <w:r>
        <w:br/>
      </w:r>
      <w:r>
        <w:rPr>
          <w:rStyle w:val="CommentTok"/>
        </w:rPr>
        <w:t xml:space="preserve">#&gt; 2 Stratum… Nepal    1105       0.1        0.00854 0.00107 0.00668 0.0109 standa…</w:t>
      </w:r>
      <w:r>
        <w:br/>
      </w:r>
      <w:r>
        <w:rPr>
          <w:rStyle w:val="CommentTok"/>
        </w:rPr>
        <w:t xml:space="preserve">#&gt; # ℹ 5 more variables: coverage &lt;dbl&gt;, log.lik &lt;dbl&gt;, iterations &lt;int&gt;,</w:t>
      </w:r>
      <w:r>
        <w:br/>
      </w:r>
      <w:r>
        <w:rPr>
          <w:rStyle w:val="CommentTok"/>
        </w:rPr>
        <w:t xml:space="preserve">#&gt; #   antigen.isos &lt;chr&gt;, nlm.convergence.code &lt;ord&gt;</w:t>
      </w:r>
    </w:p>
    <w:bookmarkEnd w:id="33"/>
    <w:bookmarkStart w:id="37" w:name="Xcd636ef07901f38ecd05b9ecc5e89e73b00ace1"/>
    <w:p>
      <w:pPr>
        <w:pStyle w:val="Heading2"/>
      </w:pPr>
      <w:r>
        <w:t xml:space="preserve">5 Estimate Seroincidence by study site and age strata</w:t>
      </w:r>
    </w:p>
    <w:p>
      <w:pPr>
        <w:pStyle w:val="FirstParagraph"/>
      </w:pPr>
      <w:r>
        <w:t xml:space="preserve">Now we are ready to begin estimating seroincidence. We will use</w:t>
      </w:r>
      <w:r>
        <w:t xml:space="preserve"> </w:t>
      </w:r>
      <w:r>
        <w:rPr>
          <w:rStyle w:val="VerbatimChar"/>
        </w:rPr>
        <w:t xml:space="preserve">est.incidence.by</w:t>
      </w:r>
      <w:r>
        <w:t xml:space="preserve"> </w:t>
      </w:r>
      <w:r>
        <w:t xml:space="preserve">to calculate stratified seroincidence rates.</w:t>
      </w:r>
    </w:p>
    <w:p>
      <w:pPr>
        <w:pStyle w:val="SourceCode"/>
      </w:pPr>
      <w:r>
        <w:rPr>
          <w:rStyle w:val="CommentTok"/>
        </w:rPr>
        <w:t xml:space="preserve"># Using est.incidence.by (strata)</w:t>
      </w:r>
      <w:r>
        <w:br/>
      </w:r>
      <w:r>
        <w:br/>
      </w:r>
      <w:r>
        <w:rPr>
          <w:rStyle w:val="NormalTok"/>
        </w:rPr>
        <w:t xml:space="preserve">est2 </w:t>
      </w:r>
      <w:r>
        <w:rPr>
          <w:rStyle w:val="OtherTok"/>
        </w:rPr>
        <w:t xml:space="preserve">&lt;-</w:t>
      </w:r>
      <w:r>
        <w:rPr>
          <w:rStyle w:val="NormalTok"/>
        </w:rPr>
        <w:t xml:space="preserve"> </w:t>
      </w:r>
      <w:r>
        <w:rPr>
          <w:rStyle w:val="FunctionTok"/>
        </w:rPr>
        <w:t xml:space="preserve">est_seroincidence_by</w:t>
      </w:r>
      <w:r>
        <w:rPr>
          <w:rStyle w:val="NormalTok"/>
        </w:rPr>
        <w:t xml:space="preserve">(</w:t>
      </w:r>
      <w:r>
        <w:br/>
      </w:r>
      <w:r>
        <w:rPr>
          <w:rStyle w:val="NormalTok"/>
        </w:rPr>
        <w:t xml:space="preserve">  </w:t>
      </w:r>
      <w:r>
        <w:rPr>
          <w:rStyle w:val="AttributeTok"/>
        </w:rPr>
        <w:t xml:space="preserve">strata =</w:t>
      </w:r>
      <w:r>
        <w:rPr>
          <w:rStyle w:val="NormalTok"/>
        </w:rPr>
        <w:t xml:space="preserve"> </w:t>
      </w:r>
      <w:r>
        <w:rPr>
          <w:rStyle w:val="FunctionTok"/>
        </w:rPr>
        <w:t xml:space="preserve">c</w:t>
      </w:r>
      <w:r>
        <w:rPr>
          <w:rStyle w:val="NormalTok"/>
        </w:rPr>
        <w:t xml:space="preserve">(</w:t>
      </w:r>
      <w:r>
        <w:rPr>
          <w:rStyle w:val="StringTok"/>
        </w:rPr>
        <w:t xml:space="preserve">"country"</w:t>
      </w:r>
      <w:r>
        <w:rPr>
          <w:rStyle w:val="NormalTok"/>
        </w:rPr>
        <w:t xml:space="preserve">, </w:t>
      </w:r>
      <w:r>
        <w:rPr>
          <w:rStyle w:val="StringTok"/>
        </w:rPr>
        <w:t xml:space="preserve">"ageQ"</w:t>
      </w:r>
      <w:r>
        <w:rPr>
          <w:rStyle w:val="NormalTok"/>
        </w:rPr>
        <w:t xml:space="preserve">),</w:t>
      </w:r>
      <w:r>
        <w:br/>
      </w:r>
      <w:r>
        <w:rPr>
          <w:rStyle w:val="NormalTok"/>
        </w:rPr>
        <w:t xml:space="preserve">  </w:t>
      </w:r>
      <w:r>
        <w:rPr>
          <w:rStyle w:val="AttributeTok"/>
        </w:rPr>
        <w:t xml:space="preserve">pop_data =</w:t>
      </w:r>
      <w:r>
        <w:rPr>
          <w:rStyle w:val="NormalTok"/>
        </w:rPr>
        <w:t xml:space="preserve"> xs_data,</w:t>
      </w:r>
      <w:r>
        <w:br/>
      </w:r>
      <w:r>
        <w:rPr>
          <w:rStyle w:val="NormalTok"/>
        </w:rPr>
        <w:t xml:space="preserve">  </w:t>
      </w:r>
      <w:r>
        <w:rPr>
          <w:rStyle w:val="AttributeTok"/>
        </w:rPr>
        <w:t xml:space="preserve">sr_params =</w:t>
      </w:r>
      <w:r>
        <w:rPr>
          <w:rStyle w:val="NormalTok"/>
        </w:rPr>
        <w:t xml:space="preserve"> curves,</w:t>
      </w:r>
      <w:r>
        <w:br/>
      </w:r>
      <w:r>
        <w:rPr>
          <w:rStyle w:val="NormalTok"/>
        </w:rPr>
        <w:t xml:space="preserve">  </w:t>
      </w:r>
      <w:r>
        <w:rPr>
          <w:rStyle w:val="AttributeTok"/>
        </w:rPr>
        <w:t xml:space="preserve">noise_params =</w:t>
      </w:r>
      <w:r>
        <w:rPr>
          <w:rStyle w:val="NormalTok"/>
        </w:rPr>
        <w:t xml:space="preserve"> noise,</w:t>
      </w:r>
      <w:r>
        <w:br/>
      </w:r>
      <w:r>
        <w:rPr>
          <w:rStyle w:val="NormalTok"/>
        </w:rPr>
        <w:t xml:space="preserve">  </w:t>
      </w:r>
      <w:r>
        <w:rPr>
          <w:rStyle w:val="AttributeTok"/>
        </w:rPr>
        <w:t xml:space="preserve">antigen_isos =</w:t>
      </w:r>
      <w:r>
        <w:rPr>
          <w:rStyle w:val="NormalTok"/>
        </w:rPr>
        <w:t xml:space="preserve"> </w:t>
      </w:r>
      <w:r>
        <w:rPr>
          <w:rStyle w:val="FunctionTok"/>
        </w:rPr>
        <w:t xml:space="preserve">c</w:t>
      </w:r>
      <w:r>
        <w:rPr>
          <w:rStyle w:val="NormalTok"/>
        </w:rPr>
        <w:t xml:space="preserve">(</w:t>
      </w:r>
      <w:r>
        <w:rPr>
          <w:rStyle w:val="StringTok"/>
        </w:rPr>
        <w:t xml:space="preserve">"OT56kda_IgG"</w:t>
      </w:r>
      <w:r>
        <w:rPr>
          <w:rStyle w:val="NormalTok"/>
        </w:rPr>
        <w:t xml:space="preserve">),</w:t>
      </w:r>
      <w:r>
        <w:br/>
      </w:r>
      <w:r>
        <w:rPr>
          <w:rStyle w:val="NormalTok"/>
        </w:rPr>
        <w:t xml:space="preserve">  </w:t>
      </w:r>
      <w:r>
        <w:rPr>
          <w:rStyle w:val="AttributeTok"/>
        </w:rPr>
        <w:t xml:space="preserve">num_cores =</w:t>
      </w:r>
      <w:r>
        <w:rPr>
          <w:rStyle w:val="NormalTok"/>
        </w:rPr>
        <w:t xml:space="preserve"> </w:t>
      </w:r>
      <w:r>
        <w:rPr>
          <w:rStyle w:val="DecValTok"/>
        </w:rPr>
        <w:t xml:space="preserve">8</w:t>
      </w:r>
      <w:r>
        <w:rPr>
          <w:rStyle w:val="NormalTok"/>
        </w:rPr>
        <w:t xml:space="preserve"> </w:t>
      </w:r>
      <w:r>
        <w:rPr>
          <w:rStyle w:val="CommentTok"/>
        </w:rPr>
        <w:t xml:space="preserve"># Allow for parallel processing to decrease run time</w:t>
      </w:r>
      <w:r>
        <w:br/>
      </w:r>
      <w:r>
        <w:rPr>
          <w:rStyle w:val="NormalTok"/>
        </w:rPr>
        <w:t xml:space="preserve">)</w:t>
      </w:r>
      <w:r>
        <w:br/>
      </w:r>
      <w:r>
        <w:rPr>
          <w:rStyle w:val="CommentTok"/>
        </w:rPr>
        <w:t xml:space="preserve">#&gt; Warning: Some strata are completely missing one or more biomarkers.</w:t>
      </w:r>
      <w:r>
        <w:br/>
      </w:r>
      <w:r>
        <w:rPr>
          <w:rStyle w:val="CommentTok"/>
        </w:rPr>
        <w:t xml:space="preserve">#&gt; , , antigen_iso = OT56kda_IgM</w:t>
      </w:r>
      <w:r>
        <w:br/>
      </w:r>
      <w:r>
        <w:rPr>
          <w:rStyle w:val="CommentTok"/>
        </w:rPr>
        <w:t xml:space="preserve">#&gt; </w:t>
      </w:r>
      <w:r>
        <w:br/>
      </w:r>
      <w:r>
        <w:rPr>
          <w:rStyle w:val="CommentTok"/>
        </w:rPr>
        <w:t xml:space="preserve">#&gt;        ageQ</w:t>
      </w:r>
      <w:r>
        <w:br/>
      </w:r>
      <w:r>
        <w:rPr>
          <w:rStyle w:val="CommentTok"/>
        </w:rPr>
        <w:t xml:space="preserve">#&gt; country 0-17 18-29 30-49 50-89</w:t>
      </w:r>
      <w:r>
        <w:br/>
      </w:r>
      <w:r>
        <w:rPr>
          <w:rStyle w:val="CommentTok"/>
        </w:rPr>
        <w:t xml:space="preserve">#&gt;   India    0    59   302   360</w:t>
      </w:r>
      <w:r>
        <w:br/>
      </w:r>
      <w:r>
        <w:rPr>
          <w:rStyle w:val="CommentTok"/>
        </w:rPr>
        <w:t xml:space="preserve">#&gt;   Nepal  876   229     0     0</w:t>
      </w:r>
      <w:r>
        <w:br/>
      </w:r>
      <w:r>
        <w:rPr>
          <w:rStyle w:val="CommentTok"/>
        </w:rPr>
        <w:t xml:space="preserve">#&gt; </w:t>
      </w:r>
      <w:r>
        <w:br/>
      </w:r>
      <w:r>
        <w:rPr>
          <w:rStyle w:val="CommentTok"/>
        </w:rPr>
        <w:t xml:space="preserve">#&gt; , , antigen_iso = OT56kda_IgG</w:t>
      </w:r>
      <w:r>
        <w:br/>
      </w:r>
      <w:r>
        <w:rPr>
          <w:rStyle w:val="CommentTok"/>
        </w:rPr>
        <w:t xml:space="preserve">#&gt; </w:t>
      </w:r>
      <w:r>
        <w:br/>
      </w:r>
      <w:r>
        <w:rPr>
          <w:rStyle w:val="CommentTok"/>
        </w:rPr>
        <w:t xml:space="preserve">#&gt;        ageQ</w:t>
      </w:r>
      <w:r>
        <w:br/>
      </w:r>
      <w:r>
        <w:rPr>
          <w:rStyle w:val="CommentTok"/>
        </w:rPr>
        <w:t xml:space="preserve">#&gt; country 0-17 18-29 30-49 50-89</w:t>
      </w:r>
      <w:r>
        <w:br/>
      </w:r>
      <w:r>
        <w:rPr>
          <w:rStyle w:val="CommentTok"/>
        </w:rPr>
        <w:t xml:space="preserve">#&gt;   India    0    59   302   360</w:t>
      </w:r>
      <w:r>
        <w:br/>
      </w:r>
      <w:r>
        <w:rPr>
          <w:rStyle w:val="CommentTok"/>
        </w:rPr>
        <w:t xml:space="preserve">#&gt;   Nepal  876   229     0     0</w:t>
      </w:r>
      <w:r>
        <w:br/>
      </w:r>
      <w:r>
        <w:rPr>
          <w:rStyle w:val="CommentTok"/>
        </w:rPr>
        <w:t xml:space="preserve">#&gt; Warning: `curve_params` is missing all strata variables and will be used unstratified.</w:t>
      </w:r>
      <w:r>
        <w:br/>
      </w:r>
      <w:r>
        <w:rPr>
          <w:rStyle w:val="CommentTok"/>
        </w:rPr>
        <w:t xml:space="preserve">#&gt; ℹ To avoid this warning, specify the desired set of stratifying variables in</w:t>
      </w:r>
      <w:r>
        <w:br/>
      </w:r>
      <w:r>
        <w:rPr>
          <w:rStyle w:val="CommentTok"/>
        </w:rPr>
        <w:t xml:space="preserve">#&gt;   the `curve_strata_varnames` and `noise_strata_varnames` arguments to</w:t>
      </w:r>
      <w:r>
        <w:br/>
      </w:r>
      <w:r>
        <w:rPr>
          <w:rStyle w:val="CommentTok"/>
        </w:rPr>
        <w:t xml:space="preserve">#&gt;   `est_seroincidence_by()`.</w:t>
      </w:r>
      <w:r>
        <w:br/>
      </w:r>
      <w:r>
        <w:rPr>
          <w:rStyle w:val="CommentTok"/>
        </w:rPr>
        <w:t xml:space="preserve">#&gt; Warning: `noise_params` is missing all strata variables and will be used unstratified.</w:t>
      </w:r>
      <w:r>
        <w:br/>
      </w:r>
      <w:r>
        <w:rPr>
          <w:rStyle w:val="CommentTok"/>
        </w:rPr>
        <w:t xml:space="preserve">#&gt; ℹ To avoid this warning, specify the desired set of stratifying variables in</w:t>
      </w:r>
      <w:r>
        <w:br/>
      </w:r>
      <w:r>
        <w:rPr>
          <w:rStyle w:val="CommentTok"/>
        </w:rPr>
        <w:t xml:space="preserve">#&gt;   the `curve_strata_varnames` and `noise_strata_varnames` arguments to</w:t>
      </w:r>
      <w:r>
        <w:br/>
      </w:r>
      <w:r>
        <w:rPr>
          <w:rStyle w:val="CommentTok"/>
        </w:rPr>
        <w:t xml:space="preserve">#&gt;   `est_seroincidence_by()`.</w:t>
      </w:r>
      <w:r>
        <w:br/>
      </w:r>
      <w:r>
        <w:br/>
      </w:r>
      <w:r>
        <w:rPr>
          <w:rStyle w:val="FunctionTok"/>
        </w:rPr>
        <w:t xml:space="preserve">summary</w:t>
      </w:r>
      <w:r>
        <w:rPr>
          <w:rStyle w:val="NormalTok"/>
        </w:rPr>
        <w:t xml:space="preserve">(est2)</w:t>
      </w:r>
      <w:r>
        <w:br/>
      </w:r>
      <w:r>
        <w:rPr>
          <w:rStyle w:val="CommentTok"/>
        </w:rPr>
        <w:t xml:space="preserve">#&gt; Seroincidence estimated given the following setup:</w:t>
      </w:r>
      <w:r>
        <w:br/>
      </w:r>
      <w:r>
        <w:rPr>
          <w:rStyle w:val="CommentTok"/>
        </w:rPr>
        <w:t xml:space="preserve">#&gt; a) Antigen isotypes   : OT56kda_IgG </w:t>
      </w:r>
      <w:r>
        <w:br/>
      </w:r>
      <w:r>
        <w:rPr>
          <w:rStyle w:val="CommentTok"/>
        </w:rPr>
        <w:t xml:space="preserve">#&gt; b) Strata       : country, ageQ </w:t>
      </w:r>
      <w:r>
        <w:br/>
      </w:r>
      <w:r>
        <w:rPr>
          <w:rStyle w:val="CommentTok"/>
        </w:rPr>
        <w:t xml:space="preserve">#&gt; </w:t>
      </w:r>
      <w:r>
        <w:br/>
      </w:r>
      <w:r>
        <w:rPr>
          <w:rStyle w:val="CommentTok"/>
        </w:rPr>
        <w:t xml:space="preserve">#&gt;  Seroincidence estimates:</w:t>
      </w:r>
      <w:r>
        <w:br/>
      </w:r>
      <w:r>
        <w:rPr>
          <w:rStyle w:val="CommentTok"/>
        </w:rPr>
        <w:t xml:space="preserve">#&gt; # A tibble: 5 × 15</w:t>
      </w:r>
      <w:r>
        <w:br/>
      </w:r>
      <w:r>
        <w:rPr>
          <w:rStyle w:val="CommentTok"/>
        </w:rPr>
        <w:t xml:space="preserve">#&gt;   Stratum   country ageQ      n est.start incidence.rate      SE  CI.lwr  CI.upr</w:t>
      </w:r>
      <w:r>
        <w:br/>
      </w:r>
      <w:r>
        <w:rPr>
          <w:rStyle w:val="CommentTok"/>
        </w:rPr>
        <w:t xml:space="preserve">#&gt;   &lt;chr&gt;     &lt;fct&gt;   &lt;fct&gt; &lt;int&gt;     &lt;dbl&gt;          &lt;dbl&gt;   &lt;dbl&gt;   &lt;dbl&gt;   &lt;dbl&gt;</w:t>
      </w:r>
      <w:r>
        <w:br/>
      </w:r>
      <w:r>
        <w:rPr>
          <w:rStyle w:val="CommentTok"/>
        </w:rPr>
        <w:t xml:space="preserve">#&gt; 1 Stratum 1 India   18-29    59       0.1        0.00985 0.00330 0.00511 0.0190 </w:t>
      </w:r>
      <w:r>
        <w:br/>
      </w:r>
      <w:r>
        <w:rPr>
          <w:rStyle w:val="CommentTok"/>
        </w:rPr>
        <w:t xml:space="preserve">#&gt; 2 Stratum 2 India   30-49   302       0.1        0.0151  0.00178 0.0120  0.0190 </w:t>
      </w:r>
      <w:r>
        <w:br/>
      </w:r>
      <w:r>
        <w:rPr>
          <w:rStyle w:val="CommentTok"/>
        </w:rPr>
        <w:t xml:space="preserve">#&gt; 3 Stratum 3 India   50-89   360       0.1        0.0288  0.00290 0.0236  0.0350 </w:t>
      </w:r>
      <w:r>
        <w:br/>
      </w:r>
      <w:r>
        <w:rPr>
          <w:rStyle w:val="CommentTok"/>
        </w:rPr>
        <w:t xml:space="preserve">#&gt; 4 Stratum 4 Nepal   0-17    876       0.1        0.00606 0.00108 0.00428 0.00860</w:t>
      </w:r>
      <w:r>
        <w:br/>
      </w:r>
      <w:r>
        <w:rPr>
          <w:rStyle w:val="CommentTok"/>
        </w:rPr>
        <w:t xml:space="preserve">#&gt; 5 Stratum 5 Nepal   18-29   229       0.1        0.0144  0.00259 0.0101  0.0205 </w:t>
      </w:r>
      <w:r>
        <w:br/>
      </w:r>
      <w:r>
        <w:rPr>
          <w:rStyle w:val="CommentTok"/>
        </w:rPr>
        <w:t xml:space="preserve">#&gt; # ℹ 6 more variables: se_type &lt;chr&gt;, coverage &lt;dbl&gt;, log.lik &lt;dbl&gt;,</w:t>
      </w:r>
      <w:r>
        <w:br/>
      </w:r>
      <w:r>
        <w:rPr>
          <w:rStyle w:val="CommentTok"/>
        </w:rPr>
        <w:t xml:space="preserve">#&gt; #   iterations &lt;int&gt;, antigen.isos &lt;chr&gt;, nlm.convergence.code &lt;ord&gt;</w:t>
      </w:r>
    </w:p>
    <w:p>
      <w:pPr>
        <w:pStyle w:val="FirstParagraph"/>
      </w:pPr>
      <w:r>
        <w:t xml:space="preserve">Let’s visualize our seroincidence estimates by strata.</w:t>
      </w:r>
    </w:p>
    <w:p>
      <w:pPr>
        <w:pStyle w:val="SourceCode"/>
      </w:pPr>
      <w:r>
        <w:rPr>
          <w:rStyle w:val="CommentTok"/>
        </w:rPr>
        <w:t xml:space="preserve"># Plot seroincidence estimates</w:t>
      </w:r>
      <w:r>
        <w:br/>
      </w:r>
      <w:r>
        <w:br/>
      </w:r>
      <w:r>
        <w:rPr>
          <w:rStyle w:val="CommentTok"/>
        </w:rPr>
        <w:t xml:space="preserve"># Save summary(est) as a dataframe</w:t>
      </w:r>
      <w:r>
        <w:br/>
      </w:r>
      <w:r>
        <w:rPr>
          <w:rStyle w:val="NormalTok"/>
        </w:rPr>
        <w:t xml:space="preserve">estdf </w:t>
      </w:r>
      <w:r>
        <w:rPr>
          <w:rStyle w:val="OtherTok"/>
        </w:rPr>
        <w:t xml:space="preserve">&lt;-</w:t>
      </w:r>
      <w:r>
        <w:rPr>
          <w:rStyle w:val="NormalTok"/>
        </w:rPr>
        <w:t xml:space="preserve"> </w:t>
      </w:r>
      <w:r>
        <w:rPr>
          <w:rStyle w:val="FunctionTok"/>
        </w:rPr>
        <w:t xml:space="preserve">summary</w:t>
      </w:r>
      <w:r>
        <w:rPr>
          <w:rStyle w:val="NormalTok"/>
        </w:rPr>
        <w:t xml:space="preserve">(est)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ageQ =</w:t>
      </w:r>
      <w:r>
        <w:rPr>
          <w:rStyle w:val="NormalTok"/>
        </w:rPr>
        <w:t xml:space="preserve"> </w:t>
      </w:r>
      <w:r>
        <w:rPr>
          <w:rStyle w:val="StringTok"/>
        </w:rPr>
        <w:t xml:space="preserve">"Overall"</w:t>
      </w:r>
      <w:r>
        <w:rPr>
          <w:rStyle w:val="NormalTok"/>
        </w:rPr>
        <w:t xml:space="preserve">)</w:t>
      </w:r>
      <w:r>
        <w:br/>
      </w:r>
      <w:r>
        <w:br/>
      </w:r>
      <w:r>
        <w:rPr>
          <w:rStyle w:val="CommentTok"/>
        </w:rPr>
        <w:t xml:space="preserve"># Save summary(est2) as a dataframe</w:t>
      </w:r>
      <w:r>
        <w:br/>
      </w:r>
      <w:r>
        <w:rPr>
          <w:rStyle w:val="NormalTok"/>
        </w:rPr>
        <w:t xml:space="preserve">est2df </w:t>
      </w:r>
      <w:r>
        <w:rPr>
          <w:rStyle w:val="OtherTok"/>
        </w:rPr>
        <w:t xml:space="preserve">&lt;-</w:t>
      </w:r>
      <w:r>
        <w:rPr>
          <w:rStyle w:val="NormalTok"/>
        </w:rPr>
        <w:t xml:space="preserve"> </w:t>
      </w:r>
      <w:r>
        <w:rPr>
          <w:rStyle w:val="FunctionTok"/>
        </w:rPr>
        <w:t xml:space="preserve">summary</w:t>
      </w:r>
      <w:r>
        <w:rPr>
          <w:rStyle w:val="NormalTok"/>
        </w:rPr>
        <w:t xml:space="preserve">(est2)</w:t>
      </w:r>
      <w:r>
        <w:br/>
      </w:r>
      <w:r>
        <w:br/>
      </w:r>
      <w:r>
        <w:br/>
      </w:r>
      <w:r>
        <w:rPr>
          <w:rStyle w:val="NormalTok"/>
        </w:rPr>
        <w:t xml:space="preserve">est_comb </w:t>
      </w:r>
      <w:r>
        <w:rPr>
          <w:rStyle w:val="OtherTok"/>
        </w:rPr>
        <w:t xml:space="preserve">&lt;-</w:t>
      </w:r>
      <w:r>
        <w:rPr>
          <w:rStyle w:val="NormalTok"/>
        </w:rPr>
        <w:t xml:space="preserve"> </w:t>
      </w:r>
      <w:r>
        <w:rPr>
          <w:rStyle w:val="FunctionTok"/>
        </w:rPr>
        <w:t xml:space="preserve">rbind</w:t>
      </w:r>
      <w:r>
        <w:rPr>
          <w:rStyle w:val="NormalTok"/>
        </w:rPr>
        <w:t xml:space="preserve">(estdf, est2df)</w:t>
      </w:r>
      <w:r>
        <w:br/>
      </w:r>
      <w:r>
        <w:br/>
      </w:r>
      <w:r>
        <w:rPr>
          <w:rStyle w:val="CommentTok"/>
        </w:rPr>
        <w:t xml:space="preserve"># Create barplot (rescale incidence rate and CIs)</w:t>
      </w:r>
      <w:r>
        <w:br/>
      </w:r>
      <w:r>
        <w:rPr>
          <w:rStyle w:val="FunctionTok"/>
        </w:rPr>
        <w:t xml:space="preserve">ggplot</w:t>
      </w:r>
      <w:r>
        <w:rPr>
          <w:rStyle w:val="NormalTok"/>
        </w:rPr>
        <w:t xml:space="preserve">(est_comb, </w:t>
      </w:r>
      <w:r>
        <w:rPr>
          <w:rStyle w:val="FunctionTok"/>
        </w:rPr>
        <w:t xml:space="preserve">aes</w:t>
      </w:r>
      <w:r>
        <w:rPr>
          <w:rStyle w:val="NormalTok"/>
        </w:rPr>
        <w:t xml:space="preserve">(</w:t>
      </w:r>
      <w:r>
        <w:rPr>
          <w:rStyle w:val="AttributeTok"/>
        </w:rPr>
        <w:t xml:space="preserve">y =</w:t>
      </w:r>
      <w:r>
        <w:rPr>
          <w:rStyle w:val="NormalTok"/>
        </w:rPr>
        <w:t xml:space="preserve"> ageQ, </w:t>
      </w:r>
      <w:r>
        <w:rPr>
          <w:rStyle w:val="AttributeTok"/>
        </w:rPr>
        <w:t xml:space="preserve">x =</w:t>
      </w:r>
      <w:r>
        <w:rPr>
          <w:rStyle w:val="NormalTok"/>
        </w:rPr>
        <w:t xml:space="preserve"> incidence.rate </w:t>
      </w:r>
      <w:r>
        <w:rPr>
          <w:rStyle w:val="SpecialCharTok"/>
        </w:rPr>
        <w:t xml:space="preserve">*</w:t>
      </w:r>
      <w:r>
        <w:rPr>
          <w:rStyle w:val="NormalTok"/>
        </w:rPr>
        <w:t xml:space="preserve"> </w:t>
      </w:r>
      <w:r>
        <w:rPr>
          <w:rStyle w:val="DecValTok"/>
        </w:rPr>
        <w:t xml:space="preserve">1000</w:t>
      </w:r>
      <w:r>
        <w:rPr>
          <w:rStyle w:val="NormalTok"/>
        </w:rPr>
        <w:t xml:space="preserve">, </w:t>
      </w:r>
      <w:r>
        <w:rPr>
          <w:rStyle w:val="AttributeTok"/>
        </w:rPr>
        <w:t xml:space="preserve">fill =</w:t>
      </w:r>
      <w:r>
        <w:rPr>
          <w:rStyle w:val="NormalTok"/>
        </w:rPr>
        <w:t xml:space="preserve"> country)) </w:t>
      </w:r>
      <w:r>
        <w:rPr>
          <w:rStyle w:val="SpecialCharTok"/>
        </w:rPr>
        <w:t xml:space="preserve">+</w:t>
      </w:r>
      <w:r>
        <w:br/>
      </w:r>
      <w:r>
        <w:rPr>
          <w:rStyle w:val="NormalTok"/>
        </w:rPr>
        <w:t xml:space="preserve">  </w:t>
      </w:r>
      <w:r>
        <w:rPr>
          <w:rStyle w:val="FunctionTok"/>
        </w:rPr>
        <w:t xml:space="preserve">geom_bar</w:t>
      </w:r>
      <w:r>
        <w:rPr>
          <w:rStyle w:val="NormalTok"/>
        </w:rPr>
        <w:t xml:space="preserve">(</w:t>
      </w:r>
      <w:r>
        <w:br/>
      </w:r>
      <w:r>
        <w:rPr>
          <w:rStyle w:val="NormalTok"/>
        </w:rPr>
        <w:t xml:space="preserve">    </w:t>
      </w:r>
      <w:r>
        <w:rPr>
          <w:rStyle w:val="AttributeTok"/>
        </w:rPr>
        <w:t xml:space="preserve">stat =</w:t>
      </w:r>
      <w:r>
        <w:rPr>
          <w:rStyle w:val="NormalTok"/>
        </w:rPr>
        <w:t xml:space="preserve"> </w:t>
      </w:r>
      <w:r>
        <w:rPr>
          <w:rStyle w:val="StringTok"/>
        </w:rPr>
        <w:t xml:space="preserve">"identity"</w:t>
      </w:r>
      <w:r>
        <w:rPr>
          <w:rStyle w:val="NormalTok"/>
        </w:rPr>
        <w:t xml:space="preserve">,</w:t>
      </w:r>
      <w:r>
        <w:br/>
      </w:r>
      <w:r>
        <w:rPr>
          <w:rStyle w:val="NormalTok"/>
        </w:rPr>
        <w:t xml:space="preserve">    </w:t>
      </w:r>
      <w:r>
        <w:rPr>
          <w:rStyle w:val="AttributeTok"/>
        </w:rPr>
        <w:t xml:space="preserve">position =</w:t>
      </w:r>
      <w:r>
        <w:rPr>
          <w:rStyle w:val="NormalTok"/>
        </w:rPr>
        <w:t xml:space="preserve"> </w:t>
      </w:r>
      <w:r>
        <w:rPr>
          <w:rStyle w:val="FunctionTok"/>
        </w:rPr>
        <w:t xml:space="preserve">position_dodge2</w:t>
      </w:r>
      <w:r>
        <w:rPr>
          <w:rStyle w:val="NormalTok"/>
        </w:rPr>
        <w:t xml:space="preserve">(</w:t>
      </w:r>
      <w:r>
        <w:rPr>
          <w:rStyle w:val="AttributeTok"/>
        </w:rPr>
        <w:t xml:space="preserve">width =</w:t>
      </w:r>
      <w:r>
        <w:rPr>
          <w:rStyle w:val="NormalTok"/>
        </w:rPr>
        <w:t xml:space="preserve"> </w:t>
      </w:r>
      <w:r>
        <w:rPr>
          <w:rStyle w:val="FloatTok"/>
        </w:rPr>
        <w:t xml:space="preserve">0.8</w:t>
      </w:r>
      <w:r>
        <w:rPr>
          <w:rStyle w:val="NormalTok"/>
        </w:rPr>
        <w:t xml:space="preserve">, </w:t>
      </w:r>
      <w:r>
        <w:rPr>
          <w:rStyle w:val="AttributeTok"/>
        </w:rPr>
        <w:t xml:space="preserve">preserve =</w:t>
      </w:r>
      <w:r>
        <w:rPr>
          <w:rStyle w:val="NormalTok"/>
        </w:rPr>
        <w:t xml:space="preserve"> </w:t>
      </w:r>
      <w:r>
        <w:rPr>
          <w:rStyle w:val="StringTok"/>
        </w:rPr>
        <w:t xml:space="preserve">"single"</w:t>
      </w:r>
      <w:r>
        <w:rPr>
          <w:rStyle w:val="NormalTok"/>
        </w:rPr>
        <w:t xml:space="preserve">)</w:t>
      </w:r>
      <w:r>
        <w:br/>
      </w:r>
      <w:r>
        <w:rPr>
          <w:rStyle w:val="NormalTok"/>
        </w:rPr>
        <w:t xml:space="preserve">  ) </w:t>
      </w:r>
      <w:r>
        <w:rPr>
          <w:rStyle w:val="SpecialCharTok"/>
        </w:rPr>
        <w:t xml:space="preserve">+</w:t>
      </w:r>
      <w:r>
        <w:br/>
      </w:r>
      <w:r>
        <w:rPr>
          <w:rStyle w:val="NormalTok"/>
        </w:rPr>
        <w:t xml:space="preserve">  </w:t>
      </w:r>
      <w:r>
        <w:rPr>
          <w:rStyle w:val="FunctionTok"/>
        </w:rPr>
        <w:t xml:space="preserve">geom_linerange</w:t>
      </w:r>
      <w:r>
        <w:rPr>
          <w:rStyle w:val="NormalTok"/>
        </w:rPr>
        <w:t xml:space="preserve">(</w:t>
      </w:r>
      <w:r>
        <w:rPr>
          <w:rStyle w:val="FunctionTok"/>
        </w:rPr>
        <w:t xml:space="preserve">aes</w:t>
      </w:r>
      <w:r>
        <w:rPr>
          <w:rStyle w:val="NormalTok"/>
        </w:rPr>
        <w:t xml:space="preserve">(</w:t>
      </w:r>
      <w:r>
        <w:rPr>
          <w:rStyle w:val="AttributeTok"/>
        </w:rPr>
        <w:t xml:space="preserve">xmin =</w:t>
      </w:r>
      <w:r>
        <w:rPr>
          <w:rStyle w:val="NormalTok"/>
        </w:rPr>
        <w:t xml:space="preserve"> CI.lwr </w:t>
      </w:r>
      <w:r>
        <w:rPr>
          <w:rStyle w:val="SpecialCharTok"/>
        </w:rPr>
        <w:t xml:space="preserve">*</w:t>
      </w:r>
      <w:r>
        <w:rPr>
          <w:rStyle w:val="NormalTok"/>
        </w:rPr>
        <w:t xml:space="preserve"> </w:t>
      </w:r>
      <w:r>
        <w:rPr>
          <w:rStyle w:val="DecValTok"/>
        </w:rPr>
        <w:t xml:space="preserve">1000</w:t>
      </w:r>
      <w:r>
        <w:rPr>
          <w:rStyle w:val="NormalTok"/>
        </w:rPr>
        <w:t xml:space="preserve">, </w:t>
      </w:r>
      <w:r>
        <w:rPr>
          <w:rStyle w:val="AttributeTok"/>
        </w:rPr>
        <w:t xml:space="preserve">xmax =</w:t>
      </w:r>
      <w:r>
        <w:rPr>
          <w:rStyle w:val="NormalTok"/>
        </w:rPr>
        <w:t xml:space="preserve"> CI.upr </w:t>
      </w:r>
      <w:r>
        <w:rPr>
          <w:rStyle w:val="SpecialCharTok"/>
        </w:rPr>
        <w:t xml:space="preserve">*</w:t>
      </w:r>
      <w:r>
        <w:rPr>
          <w:rStyle w:val="NormalTok"/>
        </w:rPr>
        <w:t xml:space="preserve"> </w:t>
      </w:r>
      <w:r>
        <w:rPr>
          <w:rStyle w:val="DecValTok"/>
        </w:rPr>
        <w:t xml:space="preserve">1000</w:t>
      </w:r>
      <w:r>
        <w:rPr>
          <w:rStyle w:val="NormalTok"/>
        </w:rPr>
        <w:t xml:space="preserve">),</w:t>
      </w:r>
      <w:r>
        <w:br/>
      </w:r>
      <w:r>
        <w:rPr>
          <w:rStyle w:val="NormalTok"/>
        </w:rPr>
        <w:t xml:space="preserve">                 </w:t>
      </w:r>
      <w:r>
        <w:rPr>
          <w:rStyle w:val="AttributeTok"/>
        </w:rPr>
        <w:t xml:space="preserve">position =</w:t>
      </w:r>
      <w:r>
        <w:rPr>
          <w:rStyle w:val="NormalTok"/>
        </w:rPr>
        <w:t xml:space="preserve"> </w:t>
      </w:r>
      <w:r>
        <w:rPr>
          <w:rStyle w:val="FunctionTok"/>
        </w:rPr>
        <w:t xml:space="preserve">position_dodge2</w:t>
      </w:r>
      <w:r>
        <w:rPr>
          <w:rStyle w:val="NormalTok"/>
        </w:rPr>
        <w:t xml:space="preserve">(</w:t>
      </w:r>
      <w:r>
        <w:rPr>
          <w:rStyle w:val="AttributeTok"/>
        </w:rPr>
        <w:t xml:space="preserve">width =</w:t>
      </w:r>
      <w:r>
        <w:rPr>
          <w:rStyle w:val="NormalTok"/>
        </w:rPr>
        <w:t xml:space="preserve"> </w:t>
      </w:r>
      <w:r>
        <w:rPr>
          <w:rStyle w:val="FloatTok"/>
        </w:rPr>
        <w:t xml:space="preserve">0.8</w:t>
      </w:r>
      <w:r>
        <w:rPr>
          <w:rStyle w:val="NormalTok"/>
        </w:rPr>
        <w:t xml:space="preserve">, </w:t>
      </w:r>
      <w:r>
        <w:rPr>
          <w:rStyle w:val="AttributeTok"/>
        </w:rPr>
        <w:t xml:space="preserve">preserve =</w:t>
      </w:r>
      <w:r>
        <w:rPr>
          <w:rStyle w:val="NormalTok"/>
        </w:rPr>
        <w:t xml:space="preserve"> </w:t>
      </w:r>
      <w:r>
        <w:rPr>
          <w:rStyle w:val="StringTok"/>
        </w:rPr>
        <w:t xml:space="preserve">"single"</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title =</w:t>
      </w:r>
      <w:r>
        <w:rPr>
          <w:rStyle w:val="NormalTok"/>
        </w:rPr>
        <w:t xml:space="preserve"> </w:t>
      </w:r>
      <w:r>
        <w:rPr>
          <w:rStyle w:val="StringTok"/>
        </w:rPr>
        <w:t xml:space="preserve">"Enteric Fever Seroincidence by Catchment Area"</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"Seroincience rate per 1000 person-years"</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StringTok"/>
        </w:rPr>
        <w:t xml:space="preserve">"Catchment"</w:t>
      </w:r>
      <w:r>
        <w:rPr>
          <w:rStyle w:val="NormalTok"/>
        </w:rPr>
        <w:t xml:space="preserve">) </w:t>
      </w:r>
      <w:r>
        <w:rPr>
          <w:rStyle w:val="SpecialCharTok"/>
        </w:rPr>
        <w:t xml:space="preserve">+</w:t>
      </w:r>
      <w:r>
        <w:br/>
      </w:r>
      <w:r>
        <w:rPr>
          <w:rStyle w:val="NormalTok"/>
        </w:rPr>
        <w:t xml:space="preserve">  </w:t>
      </w:r>
      <w:r>
        <w:rPr>
          <w:rStyle w:val="FunctionTok"/>
        </w:rPr>
        <w:t xml:space="preserve">theme_bw</w:t>
      </w:r>
      <w:r>
        <w:rPr>
          <w:rStyle w:val="NormalTok"/>
        </w:rPr>
        <w:t xml:space="preserve">() </w:t>
      </w:r>
      <w:r>
        <w:rPr>
          <w:rStyle w:val="SpecialCharTok"/>
        </w:rPr>
        <w:t xml:space="preserve">+</w:t>
      </w:r>
      <w:r>
        <w:br/>
      </w:r>
      <w:r>
        <w:rPr>
          <w:rStyle w:val="NormalTok"/>
        </w:rPr>
        <w:t xml:space="preserve">  </w:t>
      </w:r>
      <w:r>
        <w:rPr>
          <w:rStyle w:val="FunctionTok"/>
        </w:rPr>
        <w:t xml:space="preserve">facet_wrap</w:t>
      </w:r>
      <w:r>
        <w:rPr>
          <w:rStyle w:val="NormalTok"/>
        </w:rPr>
        <w:t xml:space="preserve">(</w:t>
      </w:r>
      <w:r>
        <w:rPr>
          <w:rStyle w:val="SpecialCharTok"/>
        </w:rPr>
        <w:t xml:space="preserve">~</w:t>
      </w:r>
      <w:r>
        <w:rPr>
          <w:rStyle w:val="NormalTok"/>
        </w:rPr>
        <w:t xml:space="preserve"> country)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axis.text.y =</w:t>
      </w:r>
      <w:r>
        <w:rPr>
          <w:rStyle w:val="NormalTok"/>
        </w:rPr>
        <w:t xml:space="preserve"> </w:t>
      </w:r>
      <w:r>
        <w:rPr>
          <w:rStyle w:val="FunctionTok"/>
        </w:rPr>
        <w:t xml:space="preserve">element_text</w:t>
      </w:r>
      <w:r>
        <w:rPr>
          <w:rStyle w:val="NormalTok"/>
        </w:rPr>
        <w:t xml:space="preserve">(</w:t>
      </w:r>
      <w:r>
        <w:rPr>
          <w:rStyle w:val="AttributeTok"/>
        </w:rPr>
        <w:t xml:space="preserve">size =</w:t>
      </w:r>
      <w:r>
        <w:rPr>
          <w:rStyle w:val="NormalTok"/>
        </w:rPr>
        <w:t xml:space="preserve"> </w:t>
      </w:r>
      <w:r>
        <w:rPr>
          <w:rStyle w:val="DecValTok"/>
        </w:rPr>
        <w:t xml:space="preserve">11</w:t>
      </w:r>
      <w:r>
        <w:rPr>
          <w:rStyle w:val="NormalTok"/>
        </w:rPr>
        <w:t xml:space="preserve">),</w:t>
      </w:r>
      <w:r>
        <w:br/>
      </w:r>
      <w:r>
        <w:rPr>
          <w:rStyle w:val="NormalTok"/>
        </w:rPr>
        <w:t xml:space="preserve">        </w:t>
      </w:r>
      <w:r>
        <w:rPr>
          <w:rStyle w:val="AttributeTok"/>
        </w:rPr>
        <w:t xml:space="preserve">axis.text.x =</w:t>
      </w:r>
      <w:r>
        <w:rPr>
          <w:rStyle w:val="NormalTok"/>
        </w:rPr>
        <w:t xml:space="preserve"> </w:t>
      </w:r>
      <w:r>
        <w:rPr>
          <w:rStyle w:val="FunctionTok"/>
        </w:rPr>
        <w:t xml:space="preserve">element_text</w:t>
      </w:r>
      <w:r>
        <w:rPr>
          <w:rStyle w:val="NormalTok"/>
        </w:rPr>
        <w:t xml:space="preserve">(</w:t>
      </w:r>
      <w:r>
        <w:rPr>
          <w:rStyle w:val="AttributeTok"/>
        </w:rPr>
        <w:t xml:space="preserve">size =</w:t>
      </w:r>
      <w:r>
        <w:rPr>
          <w:rStyle w:val="NormalTok"/>
        </w:rPr>
        <w:t xml:space="preserve"> </w:t>
      </w:r>
      <w:r>
        <w:rPr>
          <w:rStyle w:val="DecValTok"/>
        </w:rPr>
        <w:t xml:space="preserve">11</w:t>
      </w:r>
      <w:r>
        <w:rPr>
          <w:rStyle w:val="NormalTok"/>
        </w:rPr>
        <w:t xml:space="preserve">)) </w:t>
      </w:r>
      <w:r>
        <w:rPr>
          <w:rStyle w:val="SpecialCharTok"/>
        </w:rPr>
        <w:t xml:space="preserve">+</w:t>
      </w:r>
      <w:r>
        <w:br/>
      </w:r>
      <w:r>
        <w:rPr>
          <w:rStyle w:val="NormalTok"/>
        </w:rPr>
        <w:t xml:space="preserve">  </w:t>
      </w:r>
      <w:r>
        <w:rPr>
          <w:rStyle w:val="FunctionTok"/>
        </w:rPr>
        <w:t xml:space="preserve">scale_fill_manual</w:t>
      </w:r>
      <w:r>
        <w:rPr>
          <w:rStyle w:val="NormalTok"/>
        </w:rPr>
        <w:t xml:space="preserve">(</w:t>
      </w:r>
      <w:r>
        <w:rPr>
          <w:rStyle w:val="AttributeTok"/>
        </w:rPr>
        <w:t xml:space="preserve">values =</w:t>
      </w:r>
      <w:r>
        <w:rPr>
          <w:rStyle w:val="NormalTok"/>
        </w:rPr>
        <w:t xml:space="preserve"> </w:t>
      </w:r>
      <w:r>
        <w:rPr>
          <w:rStyle w:val="FunctionTok"/>
        </w:rPr>
        <w:t xml:space="preserve">c</w:t>
      </w:r>
      <w:r>
        <w:rPr>
          <w:rStyle w:val="NormalTok"/>
        </w:rPr>
        <w:t xml:space="preserve">(</w:t>
      </w:r>
      <w:r>
        <w:rPr>
          <w:rStyle w:val="StringTok"/>
        </w:rPr>
        <w:t xml:space="preserve">"orange2"</w:t>
      </w:r>
      <w:r>
        <w:rPr>
          <w:rStyle w:val="NormalTok"/>
        </w:rPr>
        <w:t xml:space="preserve">, </w:t>
      </w:r>
      <w:r>
        <w:rPr>
          <w:rStyle w:val="StringTok"/>
        </w:rPr>
        <w:t xml:space="preserve">"#39558CFF"</w:t>
      </w:r>
      <w:r>
        <w:rPr>
          <w:rStyle w:val="NormalTok"/>
        </w:rPr>
        <w:t xml:space="preserve">, </w:t>
      </w:r>
      <w:r>
        <w:rPr>
          <w:rStyle w:val="StringTok"/>
        </w:rPr>
        <w:t xml:space="preserve">"red"</w:t>
      </w:r>
      <w:r>
        <w:rPr>
          <w:rStyle w:val="NormalTok"/>
        </w:rPr>
        <w:t xml:space="preserve">))</w:t>
      </w:r>
    </w:p>
    <w:p>
      <w:pPr>
        <w:pStyle w:val="FirstParagraph"/>
      </w:pPr>
      <w:r>
        <w:drawing>
          <wp:inline>
            <wp:extent cx="5334000" cy="3048000"/>
            <wp:effectExtent b="0" l="0" r="0" t="0"/>
            <wp:docPr descr="" title="" id="35" name="Picture"/>
            <a:graphic>
              <a:graphicData uri="http://schemas.openxmlformats.org/drawingml/2006/picture">
                <pic:pic>
                  <pic:nvPicPr>
                    <pic:cNvPr descr="scrubTyphus_example_files/figure-docx/unnamed-chunk-6-1.png" id="36" name="Picture"/>
                    <pic:cNvPicPr>
                      <a:picLocks noChangeArrowheads="1" noChangeAspect="1"/>
                    </pic:cNvPicPr>
                  </pic:nvPicPr>
                  <pic:blipFill>
                    <a:blip r:embed="rId34"/>
                    <a:stretch>
                      <a:fillRect/>
                    </a:stretch>
                  </pic:blipFill>
                  <pic:spPr bwMode="auto">
                    <a:xfrm>
                      <a:off x="0" y="0"/>
                      <a:ext cx="5334000" cy="3048000"/>
                    </a:xfrm>
                    <a:prstGeom prst="rect">
                      <a:avLst/>
                    </a:prstGeom>
                    <a:noFill/>
                    <a:ln w="9525">
                      <a:noFill/>
                      <a:headEnd/>
                      <a:tailEnd/>
                    </a:ln>
                  </pic:spPr>
                </pic:pic>
              </a:graphicData>
            </a:graphic>
          </wp:inline>
        </w:drawing>
      </w:r>
    </w:p>
    <w:bookmarkEnd w:id="37"/>
    <w:bookmarkStart w:id="38" w:name="acknowledgments"/>
    <w:p>
      <w:pPr>
        <w:pStyle w:val="Heading2"/>
      </w:pPr>
      <w:r>
        <w:t xml:space="preserve">6 Acknowledgments</w:t>
      </w:r>
    </w:p>
    <w:p>
      <w:pPr>
        <w:pStyle w:val="FirstParagraph"/>
      </w:pPr>
      <w:r>
        <w:t xml:space="preserve">We gratefully acknowledge the study participants for their valuable time and interest in participating in these studies</w:t>
      </w:r>
    </w:p>
    <w:bookmarkEnd w:id="38"/>
    <w:bookmarkStart w:id="39" w:name="funding"/>
    <w:p>
      <w:pPr>
        <w:pStyle w:val="Heading2"/>
      </w:pPr>
      <w:r>
        <w:t xml:space="preserve">7 Funding</w:t>
      </w:r>
    </w:p>
    <w:p>
      <w:pPr>
        <w:pStyle w:val="FirstParagraph"/>
      </w:pPr>
      <w:r>
        <w:t xml:space="preserve">This work was supported by the National Institutes of Health Fogarty International Center (FIC) at [K01 TW012177] and the National Institute of Allergy and Infectious Diseases (NIAID) [R21 1AI176416]</w:t>
      </w:r>
    </w:p>
    <w:bookmarkEnd w:id="39"/>
    <w:bookmarkStart w:id="52" w:name="references"/>
    <w:p>
      <w:pPr>
        <w:pStyle w:val="Heading2"/>
      </w:pPr>
      <w:r>
        <w:t xml:space="preserve">8 References</w:t>
      </w:r>
    </w:p>
    <w:bookmarkStart w:id="51" w:name="refs"/>
    <w:bookmarkStart w:id="40" w:name="ref-Aiemjoy_2024_scrub"/>
    <w:p>
      <w:pPr>
        <w:pStyle w:val="Bibliography"/>
      </w:pPr>
      <w:r>
        <w:t xml:space="preserve">Aiemjoy, Kristen, Nishan Katuwal, Krista Vaidya, et al.</w:t>
      </w:r>
      <w:r>
        <w:t xml:space="preserve"> Accepted Feb 2024.</w:t>
      </w:r>
      <w:r>
        <w:t xml:space="preserve"> </w:t>
      </w:r>
      <w:r>
        <w:t xml:space="preserve">“Estimating the Seroincidence of Scrub Typhus Using Antibody Dynamics Following Infection.”</w:t>
      </w:r>
      <w:r>
        <w:t xml:space="preserve"> </w:t>
      </w:r>
      <w:r>
        <w:rPr>
          <w:i/>
          <w:iCs/>
        </w:rPr>
        <w:t xml:space="preserve">American Journal of Tropical Medicine and Hygiene</w:t>
      </w:r>
      <w:r>
        <w:t xml:space="preserve">, Accepted Feb 2024.</w:t>
      </w:r>
    </w:p>
    <w:bookmarkEnd w:id="40"/>
    <w:bookmarkStart w:id="42" w:name="ref-de_Graaf_2014"/>
    <w:p>
      <w:pPr>
        <w:pStyle w:val="Bibliography"/>
      </w:pPr>
      <w:r>
        <w:t xml:space="preserve">deGraaf, W. F., M. E. E. Kretzschmar, P. F. M. Teunis, and O. Diekmann</w:t>
      </w:r>
      <w:r>
        <w:t xml:space="preserve">. 2014.</w:t>
      </w:r>
      <w:r>
        <w:t xml:space="preserve"> </w:t>
      </w:r>
      <w:r>
        <w:t xml:space="preserve">“A Two-Phase Within-Host Model for Immune Response and Its Application to Serological Profiles of Pertussis.”</w:t>
      </w:r>
      <w:r>
        <w:t xml:space="preserve"> </w:t>
      </w:r>
      <w:r>
        <w:rPr>
          <w:i/>
          <w:iCs/>
        </w:rPr>
        <w:t xml:space="preserve">Epidemics</w:t>
      </w:r>
      <w:r>
        <w:t xml:space="preserve"> </w:t>
      </w:r>
      <w:r>
        <w:t xml:space="preserve">9 (December): 1–7.</w:t>
      </w:r>
      <w:r>
        <w:t xml:space="preserve"> </w:t>
      </w:r>
      <w:hyperlink r:id="rId41">
        <w:r>
          <w:rPr>
            <w:rStyle w:val="Hyperlink"/>
          </w:rPr>
          <w:t xml:space="preserve">https://doi.org/10.1016/j.epidem.2014.08.002</w:t>
        </w:r>
      </w:hyperlink>
      <w:r>
        <w:t xml:space="preserve">.</w:t>
      </w:r>
    </w:p>
    <w:bookmarkEnd w:id="42"/>
    <w:bookmarkStart w:id="44" w:name="ref-Simonsen_2009"/>
    <w:p>
      <w:pPr>
        <w:pStyle w:val="Bibliography"/>
      </w:pPr>
      <w:r>
        <w:t xml:space="preserve">Simonsen, J., K. Mølbak, G. Falkenhorst, K. A. Krogfelt, A. Linneberg, and P. F. M. Teunis. 2009.</w:t>
      </w:r>
      <w:r>
        <w:t xml:space="preserve"> </w:t>
      </w:r>
      <w:r>
        <w:t xml:space="preserve">“Estimation of Incidences of Infectious Diseases Based on Antibody Measurements.”</w:t>
      </w:r>
      <w:r>
        <w:t xml:space="preserve"> </w:t>
      </w:r>
      <w:r>
        <w:rPr>
          <w:i/>
          <w:iCs/>
        </w:rPr>
        <w:t xml:space="preserve">Statistics in Medicine</w:t>
      </w:r>
      <w:r>
        <w:t xml:space="preserve"> </w:t>
      </w:r>
      <w:r>
        <w:t xml:space="preserve">28 (14): 1882–95.</w:t>
      </w:r>
      <w:r>
        <w:t xml:space="preserve"> </w:t>
      </w:r>
      <w:hyperlink r:id="rId43">
        <w:r>
          <w:rPr>
            <w:rStyle w:val="Hyperlink"/>
          </w:rPr>
          <w:t xml:space="preserve">https://doi.org/10.1002/sim.3592</w:t>
        </w:r>
      </w:hyperlink>
      <w:r>
        <w:t xml:space="preserve">.</w:t>
      </w:r>
    </w:p>
    <w:bookmarkEnd w:id="44"/>
    <w:bookmarkStart w:id="46" w:name="ref-Teunis_2020"/>
    <w:p>
      <w:pPr>
        <w:pStyle w:val="Bibliography"/>
      </w:pPr>
      <w:r>
        <w:t xml:space="preserve">Teunis, P. F. M., and J. C. H. van Eijkeren. 2020.</w:t>
      </w:r>
      <w:r>
        <w:t xml:space="preserve"> </w:t>
      </w:r>
      <w:r>
        <w:t xml:space="preserve">“Estimation of Seroconversion Rates for Infectious Diseases: Effects of Age and Noise.”</w:t>
      </w:r>
      <w:r>
        <w:t xml:space="preserve"> </w:t>
      </w:r>
      <w:r>
        <w:rPr>
          <w:i/>
          <w:iCs/>
        </w:rPr>
        <w:t xml:space="preserve">Statistics in Medicine</w:t>
      </w:r>
      <w:r>
        <w:t xml:space="preserve"> </w:t>
      </w:r>
      <w:r>
        <w:t xml:space="preserve">39 (21): 2799–814.</w:t>
      </w:r>
      <w:r>
        <w:t xml:space="preserve"> </w:t>
      </w:r>
      <w:hyperlink r:id="rId45">
        <w:r>
          <w:rPr>
            <w:rStyle w:val="Hyperlink"/>
          </w:rPr>
          <w:t xml:space="preserve">https://doi.org/10.1002/sim.8578</w:t>
        </w:r>
      </w:hyperlink>
      <w:r>
        <w:t xml:space="preserve">.</w:t>
      </w:r>
    </w:p>
    <w:bookmarkEnd w:id="46"/>
    <w:bookmarkStart w:id="48" w:name="ref-Teunis_2016"/>
    <w:p>
      <w:pPr>
        <w:pStyle w:val="Bibliography"/>
      </w:pPr>
      <w:r>
        <w:t xml:space="preserve">Teunis, P. F. M., J. C. H. van Eijkeren, W. F. de Graaf, A. Bonačić Marinović, and M. E. E. Kretzschmar. 2016.</w:t>
      </w:r>
      <w:r>
        <w:t xml:space="preserve"> </w:t>
      </w:r>
      <w:r>
        <w:t xml:space="preserve">“Linking the Seroresponse to Infection to Within-Host Heterogeneity in Antibody Production.”</w:t>
      </w:r>
      <w:r>
        <w:t xml:space="preserve"> </w:t>
      </w:r>
      <w:r>
        <w:rPr>
          <w:i/>
          <w:iCs/>
        </w:rPr>
        <w:t xml:space="preserve">Epidemics</w:t>
      </w:r>
      <w:r>
        <w:t xml:space="preserve"> </w:t>
      </w:r>
      <w:r>
        <w:t xml:space="preserve">16 (September): 33–39.</w:t>
      </w:r>
      <w:r>
        <w:t xml:space="preserve"> </w:t>
      </w:r>
      <w:hyperlink r:id="rId47">
        <w:r>
          <w:rPr>
            <w:rStyle w:val="Hyperlink"/>
          </w:rPr>
          <w:t xml:space="preserve">https://doi.org/10.1016/j.epidem.2016.04.001</w:t>
        </w:r>
      </w:hyperlink>
      <w:r>
        <w:t xml:space="preserve">.</w:t>
      </w:r>
    </w:p>
    <w:bookmarkEnd w:id="48"/>
    <w:bookmarkStart w:id="50" w:name="ref-Teunis_2012"/>
    <w:p>
      <w:pPr>
        <w:pStyle w:val="Bibliography"/>
      </w:pPr>
      <w:r>
        <w:t xml:space="preserve">Teunis, P. F. M., JCH van Eijkeren, CW Ang, et al. 2012.</w:t>
      </w:r>
      <w:r>
        <w:t xml:space="preserve"> </w:t>
      </w:r>
      <w:r>
        <w:t xml:space="preserve">“Biomarker Dynamics: Estimating Infection Rates from Serological Data.”</w:t>
      </w:r>
      <w:r>
        <w:t xml:space="preserve"> </w:t>
      </w:r>
      <w:r>
        <w:rPr>
          <w:i/>
          <w:iCs/>
        </w:rPr>
        <w:t xml:space="preserve">Statistics in Medicine</w:t>
      </w:r>
      <w:r>
        <w:t xml:space="preserve"> </w:t>
      </w:r>
      <w:r>
        <w:t xml:space="preserve">31 (20): 2240–48.</w:t>
      </w:r>
      <w:r>
        <w:t xml:space="preserve"> </w:t>
      </w:r>
      <w:hyperlink r:id="rId49">
        <w:r>
          <w:rPr>
            <w:rStyle w:val="Hyperlink"/>
          </w:rPr>
          <w:t xml:space="preserve">https://doi.org/10.1002/sim.5322</w:t>
        </w:r>
      </w:hyperlink>
      <w:r>
        <w:t xml:space="preserve">.</w:t>
      </w:r>
    </w:p>
    <w:bookmarkEnd w:id="50"/>
    <w:bookmarkEnd w:id="51"/>
    <w:bookmarkEnd w:id="5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26" Target="media/rId26.png" /><Relationship Type="http://schemas.openxmlformats.org/officeDocument/2006/relationships/image" Id="rId19" Target="media/rId19.png" /><Relationship Type="http://schemas.openxmlformats.org/officeDocument/2006/relationships/image" Id="rId34" Target="media/rId34.png" /><Relationship Type="http://schemas.openxmlformats.org/officeDocument/2006/relationships/hyperlink" Id="rId13" Target="../../index.html#installing-the-serocalculator-package" TargetMode="External" /><Relationship Type="http://schemas.openxmlformats.org/officeDocument/2006/relationships/hyperlink" Id="rId43" Target="https://doi.org/10.1002/sim.3592" TargetMode="External" /><Relationship Type="http://schemas.openxmlformats.org/officeDocument/2006/relationships/hyperlink" Id="rId49" Target="https://doi.org/10.1002/sim.5322" TargetMode="External" /><Relationship Type="http://schemas.openxmlformats.org/officeDocument/2006/relationships/hyperlink" Id="rId45" Target="https://doi.org/10.1002/sim.8578" TargetMode="External" /><Relationship Type="http://schemas.openxmlformats.org/officeDocument/2006/relationships/hyperlink" Id="rId41" Target="https://doi.org/10.1016/j.epidem.2014.08.002" TargetMode="External" /><Relationship Type="http://schemas.openxmlformats.org/officeDocument/2006/relationships/hyperlink" Id="rId47" Target="https://doi.org/10.1016/j.epidem.2016.04.001" TargetMode="External" /><Relationship Type="http://schemas.openxmlformats.org/officeDocument/2006/relationships/hyperlink" Id="rId15" Target="https://github.com/dsy109/mixtools?tab=readme-ov-file#installation" TargetMode="External" /><Relationship Type="http://schemas.openxmlformats.org/officeDocument/2006/relationships/hyperlink" Id="rId17" Target="https://osf.io/ne8pc/" TargetMode="External" /><Relationship Type="http://schemas.openxmlformats.org/officeDocument/2006/relationships/hyperlink" Id="rId14" Target="https://tidyverse.tidyverse.org/#installation" TargetMode="External" /><Relationship Type="http://schemas.openxmlformats.org/officeDocument/2006/relationships/hyperlink" Id="rId9" Target="https://www.medrxiv.org/content/10.1101/2022.11.07.22282017v2" TargetMode="External" /></Relationships>
</file>

<file path=word/_rels/footnotes.xml.rels><?xml version="1.0" encoding="UTF-8"?><Relationships xmlns="http://schemas.openxmlformats.org/package/2006/relationships"><Relationship Type="http://schemas.openxmlformats.org/officeDocument/2006/relationships/hyperlink" Id="rId13" Target="../../index.html#installing-the-serocalculator-package" TargetMode="External" /><Relationship Type="http://schemas.openxmlformats.org/officeDocument/2006/relationships/hyperlink" Id="rId43" Target="https://doi.org/10.1002/sim.3592" TargetMode="External" /><Relationship Type="http://schemas.openxmlformats.org/officeDocument/2006/relationships/hyperlink" Id="rId49" Target="https://doi.org/10.1002/sim.5322" TargetMode="External" /><Relationship Type="http://schemas.openxmlformats.org/officeDocument/2006/relationships/hyperlink" Id="rId45" Target="https://doi.org/10.1002/sim.8578" TargetMode="External" /><Relationship Type="http://schemas.openxmlformats.org/officeDocument/2006/relationships/hyperlink" Id="rId41" Target="https://doi.org/10.1016/j.epidem.2014.08.002" TargetMode="External" /><Relationship Type="http://schemas.openxmlformats.org/officeDocument/2006/relationships/hyperlink" Id="rId47" Target="https://doi.org/10.1016/j.epidem.2016.04.001" TargetMode="External" /><Relationship Type="http://schemas.openxmlformats.org/officeDocument/2006/relationships/hyperlink" Id="rId15" Target="https://github.com/dsy109/mixtools?tab=readme-ov-file#installation" TargetMode="External" /><Relationship Type="http://schemas.openxmlformats.org/officeDocument/2006/relationships/hyperlink" Id="rId17" Target="https://osf.io/ne8pc/" TargetMode="External" /><Relationship Type="http://schemas.openxmlformats.org/officeDocument/2006/relationships/hyperlink" Id="rId14" Target="https://tidyverse.tidyverse.org/#installation" TargetMode="External" /><Relationship Type="http://schemas.openxmlformats.org/officeDocument/2006/relationships/hyperlink" Id="rId9" Target="https://www.medrxiv.org/content/10.1101/2022.11.07.22282017v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Scrub Typhus Seroincidence Vignette</dc:title>
  <dc:creator>UC Davis Seroepidemiology Research Group (SERG)</dc:creator>
  <cp:keywords/>
  <dcterms:created xsi:type="dcterms:W3CDTF">2026-08-10T07:04:30Z</dcterms:created>
  <dcterms:modified xsi:type="dcterms:W3CDTF">2026-08-10T07:04:30Z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ibliography">
    <vt:lpwstr>../references.bib</vt:lpwstr>
  </property>
  <property fmtid="{D5CDD505-2E9C-101B-9397-08002B2CF9AE}" pid="5" name="by-author">
    <vt:lpwstr/>
  </property>
  <property fmtid="{D5CDD505-2E9C-101B-9397-08002B2CF9AE}" pid="6" name="callouty-theorem">
    <vt:lpwstr/>
  </property>
  <property fmtid="{D5CDD505-2E9C-101B-9397-08002B2CF9AE}" pid="7" name="custom-callout">
    <vt:lpwstr/>
  </property>
  <property fmtid="{D5CDD505-2E9C-101B-9397-08002B2CF9AE}" pid="8" name="date">
    <vt:lpwstr>2026-08-10</vt:lpwstr>
  </property>
  <property fmtid="{D5CDD505-2E9C-101B-9397-08002B2CF9AE}" pid="9" name="header-includes">
    <vt:lpwstr/>
  </property>
  <property fmtid="{D5CDD505-2E9C-101B-9397-08002B2CF9AE}" pid="10" name="include-after">
    <vt:lpwstr/>
  </property>
  <property fmtid="{D5CDD505-2E9C-101B-9397-08002B2CF9AE}" pid="11" name="include-before">
    <vt:lpwstr/>
  </property>
  <property fmtid="{D5CDD505-2E9C-101B-9397-08002B2CF9AE}" pid="12" name="labels">
    <vt:lpwstr/>
  </property>
  <property fmtid="{D5CDD505-2E9C-101B-9397-08002B2CF9AE}" pid="13" name="toc-title">
    <vt:lpwstr>Table of contents</vt:lpwstr>
  </property>
  <property fmtid="{D5CDD505-2E9C-101B-9397-08002B2CF9AE}" pid="14" name="vignette">
    <vt:lpwstr>% % %</vt:lpwstr>
  </property>
</Properties>
</file>