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39.png" ContentType="image/png"/>
  <Override PartName="/word/media/rId26.png" ContentType="image/png"/>
  <Override PartName="/word/media/rId11.png" ContentType="image/png"/>
  <Override PartName="/word/media/rId19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Advanced Quarto Article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2026-04-01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advanced features of Quarto for package documentation. Unlike vignettes, articles are only available on the documentation website and are not included in the package bundle.</w:t>
      </w:r>
    </w:p>
    <w:bookmarkEnd w:id="9"/>
    <w:bookmarkStart w:id="10" w:name="when-to-use-articles-vs-vignettes"/>
    <w:p>
      <w:pPr>
        <w:pStyle w:val="Heading2"/>
      </w:pPr>
      <w:r>
        <w:t xml:space="preserve">2 When to Use Articles vs Vignettes</w:t>
      </w:r>
    </w:p>
    <w:p>
      <w:pPr>
        <w:pStyle w:val="FirstParagraph"/>
      </w:pPr>
      <w:r>
        <w:rPr>
          <w:b/>
          <w:bCs/>
        </w:rPr>
        <w:t xml:space="preserve">Vignettes</w:t>
      </w:r>
      <w:r>
        <w:t xml:space="preserve"> </w:t>
      </w:r>
      <w:r>
        <w:t xml:space="preserve">should be used for:</w:t>
      </w:r>
    </w:p>
    <w:p>
      <w:pPr>
        <w:pStyle w:val="Compact"/>
        <w:numPr>
          <w:ilvl w:val="0"/>
          <w:numId w:val="1001"/>
        </w:numPr>
      </w:pPr>
      <w:r>
        <w:t xml:space="preserve">Core package documentation</w:t>
      </w:r>
    </w:p>
    <w:p>
      <w:pPr>
        <w:pStyle w:val="Compact"/>
        <w:numPr>
          <w:ilvl w:val="0"/>
          <w:numId w:val="1001"/>
        </w:numPr>
      </w:pPr>
      <w:r>
        <w:t xml:space="preserve">Essential usage examples</w:t>
      </w:r>
    </w:p>
    <w:p>
      <w:pPr>
        <w:pStyle w:val="Compact"/>
        <w:numPr>
          <w:ilvl w:val="0"/>
          <w:numId w:val="1001"/>
        </w:numPr>
      </w:pPr>
      <w:r>
        <w:t xml:space="preserve">Content that users need offline</w:t>
      </w:r>
    </w:p>
    <w:p>
      <w:pPr>
        <w:pStyle w:val="FirstParagraph"/>
      </w:pPr>
      <w:r>
        <w:rPr>
          <w:b/>
          <w:bCs/>
        </w:rPr>
        <w:t xml:space="preserve">Articles</w:t>
      </w:r>
      <w:r>
        <w:t xml:space="preserve"> </w:t>
      </w:r>
      <w:r>
        <w:t xml:space="preserve">are better for:</w:t>
      </w:r>
    </w:p>
    <w:p>
      <w:pPr>
        <w:pStyle w:val="Compact"/>
        <w:numPr>
          <w:ilvl w:val="0"/>
          <w:numId w:val="1002"/>
        </w:numPr>
      </w:pPr>
      <w:r>
        <w:t xml:space="preserve">Extended tutorials</w:t>
      </w:r>
    </w:p>
    <w:p>
      <w:pPr>
        <w:pStyle w:val="Compact"/>
        <w:numPr>
          <w:ilvl w:val="0"/>
          <w:numId w:val="1002"/>
        </w:numPr>
      </w:pPr>
      <w:r>
        <w:t xml:space="preserve">Case studies and detailed examples</w:t>
      </w:r>
    </w:p>
    <w:p>
      <w:pPr>
        <w:pStyle w:val="Compact"/>
        <w:numPr>
          <w:ilvl w:val="0"/>
          <w:numId w:val="1002"/>
        </w:numPr>
      </w:pPr>
      <w:r>
        <w:t xml:space="preserve">Content with large datasets or external dependencies</w:t>
      </w:r>
    </w:p>
    <w:p>
      <w:pPr>
        <w:pStyle w:val="Compact"/>
        <w:numPr>
          <w:ilvl w:val="0"/>
          <w:numId w:val="1002"/>
        </w:numPr>
      </w:pPr>
      <w:r>
        <w:t xml:space="preserve">Supplementary material</w:t>
      </w:r>
    </w:p>
    <w:bookmarkEnd w:id="10"/>
    <w:bookmarkStart w:id="34" w:name="advanced-quarto-features"/>
    <w:p>
      <w:pPr>
        <w:pStyle w:val="Heading2"/>
      </w:pPr>
      <w:r>
        <w:t xml:space="preserve">3 Advanced Quarto Features</w:t>
      </w:r>
    </w:p>
    <w:bookmarkStart w:id="15" w:name="cross-references"/>
    <w:p>
      <w:pPr>
        <w:pStyle w:val="Heading3"/>
      </w:pPr>
      <w:r>
        <w:t xml:space="preserve">3.1 Cross-References</w:t>
      </w:r>
    </w:p>
    <w:p>
      <w:pPr>
        <w:pStyle w:val="FirstParagraph"/>
      </w:pPr>
      <w:r>
        <w:t xml:space="preserve">Quarto makes it easy to create cross-references. For example, see</w:t>
      </w:r>
      <w:r>
        <w:t xml:space="preserve"> </w:t>
      </w:r>
      <w:hyperlink w:anchor="fig-scatt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for a scatter plot and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 </w:t>
      </w:r>
      <w:r>
        <w:t xml:space="preserve">for a summary table.</w:t>
      </w:r>
    </w:p>
    <w:p>
      <w:pPr>
        <w:pStyle w:val="SourceCode"/>
      </w:pPr>
      <w:r>
        <w:rPr>
          <w:rStyle w:val="CommentTok"/>
        </w:rPr>
        <w:t xml:space="preserve"># Generate sample data</w:t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scatter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(x, y,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"Example Scatter Plot"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"X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"Y Variable"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rgb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abline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(y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x),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scatter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quarto_article_files/figure-docx/fig-scatt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Scatter plot demonstrating cross-referencing</w:t>
            </w:r>
          </w:p>
          <w:bookmarkEnd w:id="14"/>
        </w:tc>
      </w:tr>
    </w:tbl>
    <w:bookmarkEnd w:id="15"/>
    <w:bookmarkStart w:id="17" w:name="summary-tables"/>
    <w:p>
      <w:pPr>
        <w:pStyle w:val="Heading3"/>
      </w:pPr>
      <w:r>
        <w:t xml:space="preserve">3.2 Summary Tables</w:t>
      </w:r>
    </w:p>
    <w:p>
      <w:pPr>
        <w:pStyle w:val="SourceCode"/>
      </w:pPr>
      <w:r>
        <w:rPr>
          <w:rStyle w:val="NormalTok"/>
        </w:rPr>
        <w:t xml:space="preserve">data_summary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Statistic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"Median"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"Min"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"Max"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(y),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(y))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(data_summary,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Summary statistics for example data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Statistic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0.090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0.127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Median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0.062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SD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0.913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1.865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Min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-2.309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-4.586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Max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2.187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4.675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t xml:space="preserve">As shown in</w:t>
      </w:r>
      <w:r>
        <w:t xml:space="preserve"> </w:t>
      </w:r>
      <w:hyperlink w:anchor="tbl-summary">
        <w:r>
          <w:rPr>
            <w:rStyle w:val="Hyperlink"/>
          </w:rPr>
          <w:t xml:space="preserve">Table 1</w:t>
        </w:r>
      </w:hyperlink>
      <w:r>
        <w:t xml:space="preserve">, the variables have similar distributions.</w:t>
      </w:r>
    </w:p>
    <w:bookmarkEnd w:id="17"/>
    <w:bookmarkStart w:id="18" w:name="code-folding"/>
    <w:p>
      <w:pPr>
        <w:pStyle w:val="Heading3"/>
      </w:pPr>
      <w:r>
        <w:t xml:space="preserve">3.3 Code Folding</w:t>
      </w:r>
    </w:p>
    <w:p>
      <w:pPr>
        <w:pStyle w:val="FirstParagraph"/>
      </w:pPr>
      <w:r>
        <w:t xml:space="preserve">You can make code chunks foldable:</w:t>
      </w:r>
    </w:p>
    <w:p>
      <w:pPr>
        <w:pStyle w:val="SourceCode"/>
      </w:pPr>
      <w:r>
        <w:rPr>
          <w:rStyle w:val="CommentTok"/>
        </w:rPr>
        <w:t xml:space="preserve"># Prepare more complex data</w:t>
      </w:r>
      <w:r>
        <w:br/>
      </w:r>
      <w:r>
        <w:rPr>
          <w:rStyle w:val="NormalTok"/>
        </w:rPr>
        <w:t xml:space="preserve">complex_data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id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group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each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value2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group statistics</w:t>
      </w:r>
      <w:r>
        <w:br/>
      </w:r>
      <w:r>
        <w:rPr>
          <w:rStyle w:val="NormalTok"/>
        </w:rPr>
        <w:t xml:space="preserve">group_stats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aggregate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(value1, value2)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group,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complex_data,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mean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(x), </w:t>
      </w:r>
      <w:r>
        <w:rPr>
          <w:rStyle w:val="AttributeTok"/>
        </w:rPr>
        <w:t xml:space="preserve">sd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(x))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(group_stats)</w:t>
      </w:r>
      <w:r>
        <w:br/>
      </w:r>
      <w:r>
        <w:rPr>
          <w:rStyle w:val="CommentTok"/>
        </w:rPr>
        <w:t xml:space="preserve">#&gt;   group value1.mean value1.sd value2.mean value2.sd</w:t>
      </w:r>
      <w:r>
        <w:br/>
      </w:r>
      <w:r>
        <w:rPr>
          <w:rStyle w:val="CommentTok"/>
        </w:rPr>
        <w:t xml:space="preserve">#&gt; 1     A   101.61247  14.63952   51.727220 10.047051</w:t>
      </w:r>
      <w:r>
        <w:br/>
      </w:r>
      <w:r>
        <w:rPr>
          <w:rStyle w:val="CommentTok"/>
        </w:rPr>
        <w:t xml:space="preserve">#&gt; 2     B    98.13191  13.84514   53.261796  8.934998</w:t>
      </w:r>
    </w:p>
    <w:bookmarkEnd w:id="18"/>
    <w:bookmarkStart w:id="22" w:name="tabsets"/>
    <w:p>
      <w:pPr>
        <w:pStyle w:val="Heading3"/>
      </w:pPr>
      <w:r>
        <w:t xml:space="preserve">3.4 Tabsets</w:t>
      </w:r>
    </w:p>
    <w:p>
      <w:pPr>
        <w:pStyle w:val="Heading4"/>
      </w:pPr>
      <w:r>
        <w:t xml:space="preserve">Plot View</w:t>
      </w:r>
    </w:p>
    <w:p>
      <w:pPr>
        <w:pStyle w:val="FirstParagraph"/>
      </w:pPr>
      <w:r>
        <w:drawing>
          <wp:inline>
            <wp:extent cx="5334000" cy="3809999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quarto_article_files/figure-docx/unnamed-chunk-3-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4"/>
      </w:pPr>
      <w:r>
        <w:t xml:space="preserve">Summary View</w:t>
      </w:r>
    </w:p>
    <w:p>
      <w:pPr>
        <w:pStyle w:val="SourceCode"/>
      </w:pPr>
      <w:r>
        <w:rPr>
          <w:rStyle w:val="VerbatimChar"/>
        </w:rPr>
        <w:t xml:space="preserve">#&gt;        id           group               value1           value2     </w:t>
      </w:r>
      <w:r>
        <w:br/>
      </w:r>
      <w:r>
        <w:rPr>
          <w:rStyle w:val="VerbatimChar"/>
        </w:rPr>
        <w:t xml:space="preserve">#&gt;  Min.   : 1.00   Length:50          Min.   : 79.60   Min.   :32.43  </w:t>
      </w:r>
      <w:r>
        <w:br/>
      </w:r>
      <w:r>
        <w:rPr>
          <w:rStyle w:val="VerbatimChar"/>
        </w:rPr>
        <w:t xml:space="preserve">#&gt;  1st Qu.:13.25   Class :character   1st Qu.: 89.29   1st Qu.:46.76  </w:t>
      </w:r>
      <w:r>
        <w:br/>
      </w:r>
      <w:r>
        <w:rPr>
          <w:rStyle w:val="VerbatimChar"/>
        </w:rPr>
        <w:t xml:space="preserve">#&gt;  Median :25.50   Mode  :character   Median : 96.64   Median :51.04  </w:t>
      </w:r>
      <w:r>
        <w:br/>
      </w:r>
      <w:r>
        <w:rPr>
          <w:rStyle w:val="VerbatimChar"/>
        </w:rPr>
        <w:t xml:space="preserve">#&gt;  Mean   :25.50                      Mean   : 99.87   Mean   :52.49  </w:t>
      </w:r>
      <w:r>
        <w:br/>
      </w:r>
      <w:r>
        <w:rPr>
          <w:rStyle w:val="VerbatimChar"/>
        </w:rPr>
        <w:t xml:space="preserve">#&gt;  3rd Qu.:37.75                      3rd Qu.:107.93   3rd Qu.:59.34  </w:t>
      </w:r>
      <w:r>
        <w:br/>
      </w:r>
      <w:r>
        <w:rPr>
          <w:rStyle w:val="VerbatimChar"/>
        </w:rPr>
        <w:t xml:space="preserve">#&gt;  Max.   :50.00                      Max.   :132.98   Max.   :72.93</w:t>
      </w:r>
    </w:p>
    <w:p>
      <w:pPr>
        <w:pStyle w:val="Heading4"/>
      </w:pPr>
      <w:r>
        <w:t xml:space="preserve">Raw Data</w:t>
      </w:r>
    </w:p>
    <w:p>
      <w:pPr>
        <w:pStyle w:val="SourceCode"/>
      </w:pPr>
      <w:r>
        <w:rPr>
          <w:rStyle w:val="VerbatimChar"/>
        </w:rPr>
        <w:t xml:space="preserve">#&gt;    id group    value1   value2</w:t>
      </w:r>
      <w:r>
        <w:br/>
      </w:r>
      <w:r>
        <w:rPr>
          <w:rStyle w:val="VerbatimChar"/>
        </w:rPr>
        <w:t xml:space="preserve">#&gt; 1   1     A 132.98216 46.24397</w:t>
      </w:r>
      <w:r>
        <w:br/>
      </w:r>
      <w:r>
        <w:rPr>
          <w:rStyle w:val="VerbatimChar"/>
        </w:rPr>
        <w:t xml:space="preserve">#&gt; 2   2     A 119.68619 44.38124</w:t>
      </w:r>
      <w:r>
        <w:br/>
      </w:r>
      <w:r>
        <w:rPr>
          <w:rStyle w:val="VerbatimChar"/>
        </w:rPr>
        <w:t xml:space="preserve">#&gt; 3   3     A  96.02282 46.56083</w:t>
      </w:r>
      <w:r>
        <w:br/>
      </w:r>
      <w:r>
        <w:rPr>
          <w:rStyle w:val="VerbatimChar"/>
        </w:rPr>
        <w:t xml:space="preserve">#&gt; 4   4     A 108.14791 50.90497</w:t>
      </w:r>
      <w:r>
        <w:br/>
      </w:r>
      <w:r>
        <w:rPr>
          <w:rStyle w:val="VerbatimChar"/>
        </w:rPr>
        <w:t xml:space="preserve">#&gt; 5   5     A  93.78490 65.98509</w:t>
      </w:r>
      <w:r>
        <w:br/>
      </w:r>
      <w:r>
        <w:rPr>
          <w:rStyle w:val="VerbatimChar"/>
        </w:rPr>
        <w:t xml:space="preserve">#&gt; 6   6     A  92.85630 49.11435</w:t>
      </w:r>
      <w:r>
        <w:br/>
      </w:r>
      <w:r>
        <w:rPr>
          <w:rStyle w:val="VerbatimChar"/>
        </w:rPr>
        <w:t xml:space="preserve">#&gt; 7   7     A  88.17096 60.80799</w:t>
      </w:r>
      <w:r>
        <w:br/>
      </w:r>
      <w:r>
        <w:rPr>
          <w:rStyle w:val="VerbatimChar"/>
        </w:rPr>
        <w:t xml:space="preserve">#&gt; 8   8     A  91.08074 56.30754</w:t>
      </w:r>
      <w:r>
        <w:br/>
      </w:r>
      <w:r>
        <w:rPr>
          <w:rStyle w:val="VerbatimChar"/>
        </w:rPr>
        <w:t xml:space="preserve">#&gt; 9   9     A 124.76361 48.86360</w:t>
      </w:r>
      <w:r>
        <w:br/>
      </w:r>
      <w:r>
        <w:rPr>
          <w:rStyle w:val="VerbatimChar"/>
        </w:rPr>
        <w:t xml:space="preserve">#&gt; 10 10     A  99.18958 34.67098</w:t>
      </w:r>
    </w:p>
    <w:bookmarkEnd w:id="22"/>
    <w:bookmarkStart w:id="29" w:name="advanced-callouts"/>
    <w:p>
      <w:pPr>
        <w:pStyle w:val="Heading3"/>
      </w:pPr>
      <w:r>
        <w:t xml:space="preserve">3.5 Advanced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Considerations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When using this package in production: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Always validate input data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Check for missing values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Consider computational complexity</w:t>
            </w:r>
          </w:p>
          <w:p/>
        </w:tc>
      </w:tr>
    </w:tbl>
    <w:p>
      <w:pPr>
        <w:pStyle w:val="FirstParagraph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Performance Warning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Large datasets may require additional memory and processing time.</w:t>
            </w:r>
          </w:p>
          <w:p/>
        </w:tc>
      </w:tr>
    </w:tbl>
    <w:bookmarkEnd w:id="29"/>
    <w:bookmarkStart w:id="33" w:name="columns-layout"/>
    <w:p>
      <w:pPr>
        <w:pStyle w:val="Heading3"/>
      </w:pPr>
      <w:r>
        <w:t xml:space="preserve">3.6 Columns Layout</w:t>
      </w:r>
    </w:p>
    <w:p>
      <w:pPr>
        <w:pStyle w:val="FirstParagraph"/>
      </w:pPr>
      <w:r>
        <w:rPr>
          <w:b/>
          <w:bCs/>
        </w:rPr>
        <w:t xml:space="preserve">Left Column</w:t>
      </w:r>
    </w:p>
    <w:p>
      <w:pPr>
        <w:pStyle w:val="BodyText"/>
      </w:pPr>
      <w:r>
        <w:t xml:space="preserve">This demonstrates a two-column layout in Quarto.</w:t>
      </w:r>
    </w:p>
    <w:p>
      <w:pPr>
        <w:pStyle w:val="Compact"/>
        <w:numPr>
          <w:ilvl w:val="0"/>
          <w:numId w:val="1004"/>
        </w:numPr>
      </w:pPr>
      <w:r>
        <w:t xml:space="preserve">Feature 1</w:t>
      </w:r>
    </w:p>
    <w:p>
      <w:pPr>
        <w:pStyle w:val="Compact"/>
        <w:numPr>
          <w:ilvl w:val="0"/>
          <w:numId w:val="1004"/>
        </w:numPr>
      </w:pPr>
      <w:r>
        <w:t xml:space="preserve">Feature 2</w:t>
      </w:r>
    </w:p>
    <w:p>
      <w:pPr>
        <w:pStyle w:val="Compact"/>
        <w:numPr>
          <w:ilvl w:val="0"/>
          <w:numId w:val="1004"/>
        </w:numPr>
      </w:pPr>
      <w:r>
        <w:t xml:space="preserve">Feature 3</w:t>
      </w:r>
    </w:p>
    <w:p>
      <w:pPr>
        <w:pStyle w:val="FirstParagraph"/>
      </w:pPr>
      <w:r>
        <w:rPr>
          <w:b/>
          <w:bCs/>
        </w:rPr>
        <w:t xml:space="preserve">Right Column</w:t>
      </w:r>
    </w:p>
    <w:p>
      <w:pPr>
        <w:pStyle w:val="BodyText"/>
      </w:pPr>
      <w:r>
        <w:t xml:space="preserve">You can place different content in each column.</w:t>
      </w:r>
    </w:p>
    <w:p>
      <w:pPr>
        <w:pStyle w:val="BodyText"/>
      </w:pPr>
      <w:r>
        <w:drawing>
          <wp:inline>
            <wp:extent cx="5334000" cy="380999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quarto_article_files/figure-docx/unnamed-chunk-6-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5" w:name="working-with-package-functions"/>
    <w:p>
      <w:pPr>
        <w:pStyle w:val="Heading2"/>
      </w:pPr>
      <w:r>
        <w:t xml:space="preserve">4 Working with Package Functions</w:t>
      </w:r>
    </w:p>
    <w:p>
      <w:pPr>
        <w:pStyle w:val="FirstParagraph"/>
      </w:pPr>
      <w:r>
        <w:t xml:space="preserve">Here’s how to use the package’s example function with different inputs:</w:t>
      </w:r>
    </w:p>
    <w:p>
      <w:pPr>
        <w:pStyle w:val="SourceCode"/>
      </w:pPr>
      <w:r>
        <w:rPr>
          <w:rStyle w:val="CommentTok"/>
        </w:rPr>
        <w:t xml:space="preserve"># Numeric vector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15</w:t>
      </w:r>
      <w:r>
        <w:br/>
      </w:r>
      <w:r>
        <w:br/>
      </w:r>
      <w:r>
        <w:rPr>
          <w:rStyle w:val="CommentTok"/>
        </w:rPr>
        <w:t xml:space="preserve"># Using with generated data</w:t>
      </w:r>
      <w:r>
        <w:br/>
      </w:r>
      <w:r>
        <w:rPr>
          <w:rStyle w:val="NormalTok"/>
        </w:rPr>
        <w:t xml:space="preserve">random_data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runif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min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(random_data)</w:t>
      </w:r>
      <w:r>
        <w:br/>
      </w:r>
      <w:r>
        <w:rPr>
          <w:rStyle w:val="CommentTok"/>
        </w:rPr>
        <w:t xml:space="preserve">#&gt; [1] 47.42519</w:t>
      </w:r>
    </w:p>
    <w:bookmarkEnd w:id="35"/>
    <w:bookmarkStart w:id="37" w:name="code-annotations"/>
    <w:p>
      <w:pPr>
        <w:pStyle w:val="Heading2"/>
      </w:pPr>
      <w:r>
        <w:t xml:space="preserve">5 Code Annotations</w:t>
      </w:r>
    </w:p>
    <w:p>
      <w:pPr>
        <w:pStyle w:val="FirstParagraph"/>
      </w:pPr>
      <w:r>
        <w:t xml:space="preserve">Quarto supports code annotations for detailed explanations:</w:t>
      </w:r>
    </w:p>
    <w:bookmarkStart w:id="36" w:name="annotated-cell-6"/>
    <w:p>
      <w:pPr>
        <w:pStyle w:val="SourceCode"/>
      </w:pPr>
      <w:r>
        <w:br/>
      </w: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</w:t>
      </w:r>
      <w:r>
        <w:br/>
      </w:r>
      <w:r>
        <w:rPr>
          <w:rStyle w:val="CommentTok"/>
        </w:rPr>
        <w:t xml:space="preserve">#&gt; [1] 3</w:t>
      </w:r>
    </w:p>
    <w:bookmarkEnd w:id="36"/>
    <w:p>
      <w:pPr>
        <w:pStyle w:val="DefinitionTerm"/>
      </w:pPr>
      <w:r>
        <w:t xml:space="preserve">Line 1</w:t>
      </w:r>
    </w:p>
    <w:p>
      <w:pPr>
        <w:pStyle w:val="Definition"/>
      </w:pPr>
      <w:r>
        <w:t xml:space="preserve">Load sample data</w:t>
      </w:r>
    </w:p>
    <w:p>
      <w:pPr>
        <w:pStyle w:val="DefinitionTerm"/>
      </w:pPr>
      <w:r>
        <w:t xml:space="preserve">Line 2</w:t>
      </w:r>
    </w:p>
    <w:p>
      <w:pPr>
        <w:pStyle w:val="Definition"/>
      </w:pPr>
      <w:r>
        <w:t xml:space="preserve">Create a simple numeric vector</w:t>
      </w:r>
    </w:p>
    <w:p>
      <w:pPr>
        <w:pStyle w:val="DefinitionTerm"/>
      </w:pPr>
      <w:r>
        <w:t xml:space="preserve">Line 3</w:t>
      </w:r>
    </w:p>
    <w:p>
      <w:pPr>
        <w:pStyle w:val="Definition"/>
      </w:pPr>
      <w:r>
        <w:t xml:space="preserve">Apply the example function from the package</w:t>
      </w:r>
    </w:p>
    <w:p>
      <w:pPr>
        <w:pStyle w:val="DefinitionTerm"/>
      </w:pPr>
      <w:r>
        <w:t xml:space="preserve">Line 4</w:t>
      </w:r>
    </w:p>
    <w:p>
      <w:pPr>
        <w:pStyle w:val="Definition"/>
      </w:pPr>
      <w:r>
        <w:t xml:space="preserve">Display the results</w:t>
      </w:r>
    </w:p>
    <w:bookmarkEnd w:id="37"/>
    <w:bookmarkStart w:id="38" w:name="mathematical-notation"/>
    <w:p>
      <w:pPr>
        <w:pStyle w:val="Heading2"/>
      </w:pPr>
      <w:r>
        <w:t xml:space="preserve">6 Mathematical Notation</w:t>
      </w:r>
    </w:p>
    <w:p>
      <w:pPr>
        <w:pStyle w:val="FirstParagraph"/>
      </w:pPr>
      <w:r>
        <w:t xml:space="preserve">Quarto excels at mathematical notation. Here’s an example of a statistical formula:</w:t>
      </w:r>
    </w:p>
    <w:p>
      <w:pPr>
        <w:pStyle w:val="BodyText"/>
      </w:pPr>
      <w:r>
        <w:t xml:space="preserve">The standard error of the mean is calculated as: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ad>
                <m:radPr>
                  <m:degHide m:val="on"/>
                </m:radPr>
                <m:deg/>
                <m:e>
                  <m:r>
                    <m:t>n</m:t>
                  </m:r>
                </m:e>
              </m:rad>
            </m:den>
          </m:f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sample standard deviation and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the sample size.</w:t>
      </w:r>
    </w:p>
    <w:p>
      <w:pPr>
        <w:pStyle w:val="BodyText"/>
      </w:pPr>
      <w:r>
        <w:t xml:space="preserve">For a confidence interval:</w:t>
      </w:r>
    </w:p>
    <w:p>
      <w:pPr>
        <w:pStyle w:val="BodyText"/>
      </w:pPr>
      <m:oMathPara>
        <m:oMathParaPr>
          <m:jc m:val="center"/>
        </m:oMathParaPr>
        <m:oMath>
          <m:r>
            <m:t>C</m:t>
          </m:r>
          <m:r>
            <m:t>I</m:t>
          </m:r>
          <m:r>
            <m:rPr>
              <m:sty m:val="p"/>
            </m:rPr>
            <m:t>=</m:t>
          </m:r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±</m:t>
          </m:r>
          <m:sSub>
            <m:e>
              <m:r>
                <m:t>t</m:t>
              </m:r>
            </m:e>
            <m:sub>
              <m:r>
                <m:t>α</m:t>
              </m:r>
              <m:r>
                <m:rPr>
                  <m:sty m:val="p"/>
                </m:rPr>
                <m:t>/</m:t>
              </m:r>
              <m:r>
                <m:t>2</m:t>
              </m:r>
              <m:r>
                <m:rPr>
                  <m:sty m:val="p"/>
                </m:rPr>
                <m:t>,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⋅</m:t>
          </m:r>
          <m:r>
            <m:t>S</m:t>
          </m:r>
          <m:r>
            <m:t>E</m:t>
          </m:r>
        </m:oMath>
      </m:oMathPara>
    </w:p>
    <w:bookmarkEnd w:id="38"/>
    <w:bookmarkStart w:id="42" w:name="tips-and-best-practices"/>
    <w:p>
      <w:pPr>
        <w:pStyle w:val="Heading2"/>
      </w:pPr>
      <w:r>
        <w:t xml:space="preserve">7 Tips and Best Practices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Expanding tip section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Click to expand this section for additional tips: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descriptive chunk labels for better organization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Set global chunk options at the beginning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Use cross-references to link related content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Leverage callouts for important information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Consider code folding for long code blocks</w:t>
            </w:r>
          </w:p>
          <w:p/>
        </w:tc>
      </w:tr>
    </w:tbl>
    <w:bookmarkEnd w:id="42"/>
    <w:bookmarkStart w:id="43" w:name="conclusion"/>
    <w:p>
      <w:pPr>
        <w:pStyle w:val="Heading2"/>
      </w:pPr>
      <w:r>
        <w:t xml:space="preserve">8 Conclusion</w:t>
      </w:r>
    </w:p>
    <w:p>
      <w:pPr>
        <w:pStyle w:val="FirstParagraph"/>
      </w:pPr>
      <w:r>
        <w:t xml:space="preserve">This article demonstrates the advanced capabilities of Quarto for creating rich, interactive documentation for R packages.</w:t>
      </w:r>
    </w:p>
    <w:bookmarkEnd w:id="43"/>
    <w:bookmarkStart w:id="47" w:name="learn-more"/>
    <w:p>
      <w:pPr>
        <w:pStyle w:val="Heading2"/>
      </w:pPr>
      <w:r>
        <w:t xml:space="preserve">9 Learn More</w:t>
      </w:r>
    </w:p>
    <w:p>
      <w:pPr>
        <w:pStyle w:val="Compact"/>
        <w:numPr>
          <w:ilvl w:val="0"/>
          <w:numId w:val="1006"/>
        </w:numPr>
      </w:pPr>
      <w:r>
        <w:t xml:space="preserve">Visit the</w:t>
      </w:r>
      <w:r>
        <w:t xml:space="preserve"> </w:t>
      </w:r>
      <w:hyperlink r:id="rId44">
        <w:r>
          <w:rPr>
            <w:rStyle w:val="Hyperlink"/>
          </w:rPr>
          <w:t xml:space="preserve">package website</w:t>
        </w:r>
      </w:hyperlink>
    </w:p>
    <w:p>
      <w:pPr>
        <w:pStyle w:val="Compact"/>
        <w:numPr>
          <w:ilvl w:val="0"/>
          <w:numId w:val="1006"/>
        </w:numPr>
      </w:pPr>
      <w:r>
        <w:t xml:space="preserve">Check out the</w:t>
      </w:r>
      <w:r>
        <w:t xml:space="preserve"> </w:t>
      </w:r>
      <w:hyperlink r:id="rId45">
        <w:r>
          <w:rPr>
            <w:rStyle w:val="Hyperlink"/>
          </w:rPr>
          <w:t xml:space="preserve">GitHub repository</w:t>
        </w:r>
      </w:hyperlink>
    </w:p>
    <w:p>
      <w:pPr>
        <w:pStyle w:val="Compact"/>
        <w:numPr>
          <w:ilvl w:val="0"/>
          <w:numId w:val="1006"/>
        </w:numPr>
      </w:pPr>
      <w:r>
        <w:t xml:space="preserve">Read the</w:t>
      </w:r>
      <w:r>
        <w:t xml:space="preserve"> </w:t>
      </w:r>
      <w:hyperlink r:id="rId46">
        <w:r>
          <w:rPr>
            <w:rStyle w:val="Hyperlink"/>
          </w:rPr>
          <w:t xml:space="preserve">Quarto documentation</w:t>
        </w:r>
      </w:hyperlink>
    </w:p>
    <w:bookmarkEnd w:id="47"/>
    <w:bookmarkStart w:id="49" w:name="references"/>
    <w:p>
      <w:pPr>
        <w:pStyle w:val="Heading2"/>
      </w:pPr>
      <w:r>
        <w:t xml:space="preserve">10 References</w:t>
      </w:r>
    </w:p>
    <w:bookmarkStart w:id="48" w:name="refs"/>
    <w:bookmarkEnd w:id="48"/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3" Target="media/rId23.png" /><Relationship Type="http://schemas.openxmlformats.org/officeDocument/2006/relationships/image" Id="rId39" Target="media/rId39.png" /><Relationship Type="http://schemas.openxmlformats.org/officeDocument/2006/relationships/image" Id="rId26" Target="media/rId26.png" /><Relationship Type="http://schemas.openxmlformats.org/officeDocument/2006/relationships/image" Id="rId11" Target="media/rId11.png" /><Relationship Type="http://schemas.openxmlformats.org/officeDocument/2006/relationships/image" Id="rId19" Target="media/rId19.png" /><Relationship Type="http://schemas.openxmlformats.org/officeDocument/2006/relationships/image" Id="rId30" Target="media/rId30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46" Target="https://quarto.org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Quarto Article</dc:title>
  <dc:creator>UC Davis Seroepidemiology Research Group (UCD-SERG)</dc:creator>
  <cp:keywords/>
  <dcterms:created xsi:type="dcterms:W3CDTF">2026-04-01T19:55:47Z</dcterms:created>
  <dcterms:modified xsi:type="dcterms:W3CDTF">2026-04-01T19:55:47Z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2026-04-01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